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0AD" w:rsidRPr="00FC39EC" w:rsidRDefault="006E20AD"/>
    <w:p w:rsidR="00FC39EC" w:rsidRPr="00FC39EC" w:rsidRDefault="0074371F" w:rsidP="00DC1965">
      <w:pPr>
        <w:tabs>
          <w:tab w:val="left" w:pos="1050"/>
        </w:tabs>
        <w:spacing w:after="0" w:line="240" w:lineRule="auto"/>
        <w:jc w:val="center"/>
        <w:rPr>
          <w:rFonts w:eastAsia="Times New Roman" w:cs="Arial"/>
          <w:b/>
          <w:sz w:val="36"/>
          <w:szCs w:val="36"/>
          <w:lang w:eastAsia="en-GB"/>
        </w:rPr>
      </w:pPr>
      <w:r>
        <w:rPr>
          <w:rFonts w:eastAsia="Times New Roman" w:cs="Arial"/>
          <w:b/>
          <w:sz w:val="36"/>
          <w:szCs w:val="36"/>
          <w:lang w:eastAsia="en-GB"/>
        </w:rPr>
        <w:t xml:space="preserve"> </w:t>
      </w:r>
      <w:r>
        <w:rPr>
          <w:rFonts w:eastAsia="Times New Roman" w:cs="Arial"/>
          <w:b/>
          <w:sz w:val="36"/>
          <w:szCs w:val="36"/>
          <w:lang w:eastAsia="en-GB"/>
        </w:rPr>
        <w:br/>
      </w:r>
      <w:r w:rsidR="00C920A2">
        <w:rPr>
          <w:rFonts w:eastAsia="Times New Roman" w:cs="Arial"/>
          <w:b/>
          <w:sz w:val="36"/>
          <w:szCs w:val="36"/>
          <w:lang w:eastAsia="en-GB"/>
        </w:rPr>
        <w:t>Fruit Fly Operational Agreement</w:t>
      </w:r>
      <w:r>
        <w:rPr>
          <w:rFonts w:eastAsia="Times New Roman" w:cs="Arial"/>
          <w:b/>
          <w:sz w:val="36"/>
          <w:szCs w:val="36"/>
          <w:lang w:eastAsia="en-GB"/>
        </w:rPr>
        <w:t xml:space="preserve"> Q&amp;As</w:t>
      </w:r>
    </w:p>
    <w:p w:rsidR="00FC39EC" w:rsidRPr="00FC39EC" w:rsidRDefault="0074371F" w:rsidP="00FC39EC">
      <w:pPr>
        <w:tabs>
          <w:tab w:val="left" w:pos="1050"/>
        </w:tabs>
        <w:spacing w:after="0" w:line="240" w:lineRule="auto"/>
        <w:jc w:val="center"/>
        <w:rPr>
          <w:rFonts w:eastAsia="Times New Roman" w:cs="Arial"/>
          <w:b/>
          <w:sz w:val="28"/>
          <w:szCs w:val="28"/>
          <w:lang w:eastAsia="en-GB"/>
        </w:rPr>
      </w:pPr>
      <w:r>
        <w:rPr>
          <w:rFonts w:eastAsia="Times New Roman" w:cs="Arial"/>
          <w:b/>
          <w:sz w:val="28"/>
          <w:szCs w:val="28"/>
          <w:lang w:eastAsia="en-GB"/>
        </w:rPr>
        <w:t xml:space="preserve"> </w:t>
      </w:r>
    </w:p>
    <w:p w:rsidR="00FC39EC" w:rsidRPr="00FC39EC" w:rsidRDefault="00FC39EC" w:rsidP="00FC39EC">
      <w:pPr>
        <w:tabs>
          <w:tab w:val="left" w:pos="1050"/>
        </w:tabs>
        <w:spacing w:after="0" w:line="240" w:lineRule="auto"/>
        <w:jc w:val="center"/>
        <w:rPr>
          <w:rFonts w:eastAsia="Times New Roman" w:cs="Arial"/>
          <w:b/>
          <w:sz w:val="28"/>
          <w:szCs w:val="28"/>
          <w:lang w:eastAsia="en-GB"/>
        </w:rPr>
      </w:pPr>
      <w:r>
        <w:rPr>
          <w:rFonts w:eastAsia="Times New Roman" w:cs="Arial"/>
          <w:b/>
          <w:sz w:val="28"/>
          <w:szCs w:val="28"/>
          <w:lang w:eastAsia="en-GB"/>
        </w:rPr>
        <w:t xml:space="preserve"> </w:t>
      </w:r>
    </w:p>
    <w:p w:rsidR="00D2109B" w:rsidRPr="00C02056" w:rsidRDefault="00D2109B" w:rsidP="0080067F">
      <w:pPr>
        <w:spacing w:after="200" w:line="276" w:lineRule="auto"/>
        <w:rPr>
          <w:rFonts w:eastAsia="Times New Roman" w:cs="Arial"/>
          <w:b/>
          <w:lang w:eastAsia="en-GB"/>
        </w:rPr>
      </w:pPr>
      <w:r w:rsidRPr="00C02056">
        <w:rPr>
          <w:rFonts w:eastAsia="Times New Roman" w:cs="Arial"/>
          <w:b/>
          <w:lang w:eastAsia="en-GB"/>
        </w:rPr>
        <w:t>What is an operational agreement?</w:t>
      </w:r>
    </w:p>
    <w:p w:rsidR="00D2109B" w:rsidRPr="00C02056" w:rsidRDefault="00161CA5" w:rsidP="0080067F">
      <w:pPr>
        <w:spacing w:after="200" w:line="276" w:lineRule="auto"/>
        <w:rPr>
          <w:rFonts w:eastAsia="Times New Roman" w:cs="Arial"/>
          <w:lang w:eastAsia="en-GB"/>
        </w:rPr>
      </w:pPr>
      <w:r w:rsidRPr="00C02056">
        <w:rPr>
          <w:rFonts w:eastAsia="Times New Roman" w:cs="Arial"/>
          <w:lang w:eastAsia="en-GB"/>
        </w:rPr>
        <w:t>Operational agreements</w:t>
      </w:r>
      <w:r w:rsidR="00D2109B" w:rsidRPr="00C02056">
        <w:rPr>
          <w:rFonts w:eastAsia="Times New Roman" w:cs="Arial"/>
          <w:lang w:eastAsia="en-GB"/>
        </w:rPr>
        <w:t xml:space="preserve"> provide for joint decision-making and investment between </w:t>
      </w:r>
      <w:r w:rsidR="001B3F70">
        <w:rPr>
          <w:rFonts w:eastAsia="Times New Roman" w:cs="Arial"/>
          <w:lang w:eastAsia="en-GB"/>
        </w:rPr>
        <w:t xml:space="preserve">GIA </w:t>
      </w:r>
      <w:r w:rsidR="00D2109B" w:rsidRPr="00C02056">
        <w:rPr>
          <w:rFonts w:eastAsia="Times New Roman" w:cs="Arial"/>
          <w:lang w:eastAsia="en-GB"/>
        </w:rPr>
        <w:t xml:space="preserve">Deed Signatories, in order to achieve specific outcomes for enhanced readiness and response. They involve the Ministry for Primary Industries and one or more industry Signatory and focus on achieving agreed biosecurity outcomes. </w:t>
      </w:r>
    </w:p>
    <w:p w:rsidR="00D2109B" w:rsidRPr="00C02056" w:rsidRDefault="00D2109B" w:rsidP="00D2109B">
      <w:pPr>
        <w:spacing w:after="200" w:line="276" w:lineRule="auto"/>
        <w:rPr>
          <w:rFonts w:eastAsia="Times New Roman" w:cs="Arial"/>
          <w:b/>
          <w:lang w:eastAsia="en-GB"/>
        </w:rPr>
      </w:pPr>
      <w:r w:rsidRPr="00C02056">
        <w:rPr>
          <w:rFonts w:eastAsia="Times New Roman" w:cs="Arial"/>
          <w:b/>
          <w:lang w:eastAsia="en-GB"/>
        </w:rPr>
        <w:t xml:space="preserve">What is </w:t>
      </w:r>
      <w:r w:rsidR="00161CA5" w:rsidRPr="00C02056">
        <w:rPr>
          <w:rFonts w:eastAsia="Times New Roman" w:cs="Arial"/>
          <w:b/>
          <w:lang w:eastAsia="en-GB"/>
        </w:rPr>
        <w:t>the fruit fly operational agreement?</w:t>
      </w:r>
    </w:p>
    <w:p w:rsidR="00D2109B" w:rsidRPr="00C02056" w:rsidRDefault="00D2109B" w:rsidP="00D2109B">
      <w:pPr>
        <w:spacing w:after="200" w:line="276" w:lineRule="auto"/>
        <w:rPr>
          <w:rFonts w:eastAsia="Times New Roman" w:cs="Arial"/>
          <w:lang w:eastAsia="en-GB"/>
        </w:rPr>
      </w:pPr>
      <w:r w:rsidRPr="00C02056">
        <w:rPr>
          <w:rFonts w:eastAsia="Times New Roman" w:cs="Arial"/>
          <w:lang w:eastAsia="en-GB"/>
        </w:rPr>
        <w:t>It is an agreement between the Fruit Fly Council and government to jointly undertake readiness activities to reduce the impact of fruit fly incursion on the horticulture sector.</w:t>
      </w:r>
      <w:bookmarkStart w:id="0" w:name="_GoBack"/>
      <w:bookmarkEnd w:id="0"/>
    </w:p>
    <w:p w:rsidR="00D2109B" w:rsidRPr="00C02056" w:rsidRDefault="00D2109B" w:rsidP="0080067F">
      <w:pPr>
        <w:spacing w:after="200" w:line="276" w:lineRule="auto"/>
        <w:rPr>
          <w:rFonts w:eastAsia="Times New Roman" w:cs="Arial"/>
          <w:b/>
          <w:lang w:eastAsia="en-GB"/>
        </w:rPr>
      </w:pPr>
      <w:r w:rsidRPr="00C02056">
        <w:rPr>
          <w:rFonts w:eastAsia="Times New Roman" w:cs="Arial"/>
          <w:b/>
          <w:lang w:eastAsia="en-GB"/>
        </w:rPr>
        <w:t>Do all Deed Signatories need to be involved in an operational agreement?</w:t>
      </w:r>
      <w:r w:rsidR="00AD53A2">
        <w:rPr>
          <w:rFonts w:eastAsia="Times New Roman" w:cs="Arial"/>
          <w:b/>
          <w:lang w:eastAsia="en-GB"/>
        </w:rPr>
        <w:br/>
      </w:r>
      <w:r w:rsidRPr="00C02056">
        <w:rPr>
          <w:rFonts w:eastAsia="Times New Roman" w:cs="Arial"/>
          <w:lang w:eastAsia="en-GB"/>
        </w:rPr>
        <w:t xml:space="preserve">There is no obligation on Deed Signatories to enter into an </w:t>
      </w:r>
      <w:r w:rsidR="002F2A69">
        <w:rPr>
          <w:rFonts w:eastAsia="Times New Roman" w:cs="Arial"/>
          <w:lang w:eastAsia="en-GB"/>
        </w:rPr>
        <w:t xml:space="preserve">operational agreement </w:t>
      </w:r>
      <w:r w:rsidRPr="00C02056">
        <w:rPr>
          <w:rFonts w:eastAsia="Times New Roman" w:cs="Arial"/>
          <w:lang w:eastAsia="en-GB"/>
        </w:rPr>
        <w:t xml:space="preserve">- it is not a requirement for signing the GIA Deed. Deed Signatories can enter into one or more Operational Agreements, or they may choose not to enter into any. </w:t>
      </w:r>
    </w:p>
    <w:p w:rsidR="00BD41C6" w:rsidRPr="00C02056" w:rsidRDefault="00D2109B" w:rsidP="0080067F">
      <w:pPr>
        <w:spacing w:after="200" w:line="276" w:lineRule="auto"/>
        <w:rPr>
          <w:rFonts w:eastAsia="Times New Roman" w:cs="Arial"/>
          <w:b/>
          <w:lang w:eastAsia="en-GB"/>
        </w:rPr>
      </w:pPr>
      <w:r w:rsidRPr="00C02056">
        <w:rPr>
          <w:rFonts w:eastAsia="Times New Roman" w:cs="Arial"/>
          <w:b/>
          <w:lang w:eastAsia="en-GB"/>
        </w:rPr>
        <w:br/>
      </w:r>
      <w:r w:rsidR="00BD41C6" w:rsidRPr="00C02056">
        <w:rPr>
          <w:rFonts w:eastAsia="Times New Roman" w:cs="Arial"/>
          <w:b/>
          <w:lang w:eastAsia="en-GB"/>
        </w:rPr>
        <w:t xml:space="preserve">What does the </w:t>
      </w:r>
      <w:r w:rsidR="00B70125">
        <w:rPr>
          <w:rFonts w:eastAsia="Times New Roman" w:cs="Arial"/>
          <w:b/>
          <w:lang w:eastAsia="en-GB"/>
        </w:rPr>
        <w:t>fruit f</w:t>
      </w:r>
      <w:r w:rsidRPr="00C02056">
        <w:rPr>
          <w:rFonts w:eastAsia="Times New Roman" w:cs="Arial"/>
          <w:b/>
          <w:lang w:eastAsia="en-GB"/>
        </w:rPr>
        <w:t xml:space="preserve">ly </w:t>
      </w:r>
      <w:r w:rsidR="00B70125">
        <w:rPr>
          <w:rFonts w:eastAsia="Times New Roman" w:cs="Arial"/>
          <w:b/>
          <w:lang w:eastAsia="en-GB"/>
        </w:rPr>
        <w:t>o</w:t>
      </w:r>
      <w:r w:rsidRPr="00C02056">
        <w:rPr>
          <w:rFonts w:eastAsia="Times New Roman" w:cs="Arial"/>
          <w:b/>
          <w:lang w:eastAsia="en-GB"/>
        </w:rPr>
        <w:t xml:space="preserve">perational </w:t>
      </w:r>
      <w:r w:rsidR="00B70125">
        <w:rPr>
          <w:rFonts w:eastAsia="Times New Roman" w:cs="Arial"/>
          <w:b/>
          <w:lang w:eastAsia="en-GB"/>
        </w:rPr>
        <w:t>a</w:t>
      </w:r>
      <w:r w:rsidRPr="00C02056">
        <w:rPr>
          <w:rFonts w:eastAsia="Times New Roman" w:cs="Arial"/>
          <w:b/>
          <w:lang w:eastAsia="en-GB"/>
        </w:rPr>
        <w:t xml:space="preserve">greement </w:t>
      </w:r>
      <w:r w:rsidR="00BD41C6" w:rsidRPr="00C02056">
        <w:rPr>
          <w:rFonts w:eastAsia="Times New Roman" w:cs="Arial"/>
          <w:b/>
          <w:lang w:eastAsia="en-GB"/>
        </w:rPr>
        <w:t>aim to achieve?</w:t>
      </w:r>
    </w:p>
    <w:p w:rsidR="00BD41C6" w:rsidRPr="00C02056" w:rsidRDefault="00BD41C6" w:rsidP="00BD41C6">
      <w:pPr>
        <w:spacing w:after="200" w:line="276" w:lineRule="auto"/>
        <w:rPr>
          <w:rFonts w:eastAsia="Times New Roman" w:cs="Arial"/>
          <w:lang w:eastAsia="en-GB"/>
        </w:rPr>
      </w:pPr>
      <w:r w:rsidRPr="00C02056">
        <w:rPr>
          <w:rFonts w:eastAsia="Times New Roman" w:cs="Arial"/>
          <w:lang w:eastAsia="en-GB"/>
        </w:rPr>
        <w:t>The overarching outcome sought from the OA is that Signatories will work together to reduce impacts to the horticulture sector from fruit fly by:</w:t>
      </w:r>
    </w:p>
    <w:p w:rsidR="00BD41C6" w:rsidRPr="00C02056" w:rsidRDefault="00BD41C6" w:rsidP="0091424B">
      <w:pPr>
        <w:numPr>
          <w:ilvl w:val="0"/>
          <w:numId w:val="22"/>
        </w:numPr>
        <w:spacing w:after="120" w:line="276" w:lineRule="auto"/>
        <w:rPr>
          <w:rFonts w:eastAsia="Times New Roman" w:cs="Arial"/>
          <w:lang w:eastAsia="en-GB"/>
        </w:rPr>
      </w:pPr>
      <w:r w:rsidRPr="00C02056">
        <w:rPr>
          <w:rFonts w:eastAsia="Times New Roman" w:cs="Arial"/>
          <w:lang w:eastAsia="en-GB"/>
        </w:rPr>
        <w:t>Demonstrating, on an ongoing basis, New Zealand’s freedom from fruit flies and detecting any fruit flies early enough to ensure a successful response</w:t>
      </w:r>
    </w:p>
    <w:p w:rsidR="00BD41C6" w:rsidRPr="00C02056" w:rsidRDefault="00BD41C6" w:rsidP="0091424B">
      <w:pPr>
        <w:numPr>
          <w:ilvl w:val="0"/>
          <w:numId w:val="22"/>
        </w:numPr>
        <w:spacing w:after="120" w:line="276" w:lineRule="auto"/>
        <w:rPr>
          <w:rFonts w:eastAsia="Times New Roman" w:cs="Arial"/>
          <w:lang w:eastAsia="en-GB"/>
        </w:rPr>
      </w:pPr>
      <w:r w:rsidRPr="00C02056">
        <w:rPr>
          <w:rFonts w:eastAsia="Times New Roman" w:cs="Arial"/>
          <w:lang w:eastAsia="en-GB"/>
        </w:rPr>
        <w:t>Successfully managing a detection and/or eradicating any incursion</w:t>
      </w:r>
    </w:p>
    <w:p w:rsidR="00BD41C6" w:rsidRPr="00C02056" w:rsidRDefault="00BD41C6" w:rsidP="0091424B">
      <w:pPr>
        <w:numPr>
          <w:ilvl w:val="0"/>
          <w:numId w:val="22"/>
        </w:numPr>
        <w:spacing w:after="120" w:line="276" w:lineRule="auto"/>
        <w:rPr>
          <w:rFonts w:eastAsia="Times New Roman" w:cs="Arial"/>
          <w:lang w:eastAsia="en-GB"/>
        </w:rPr>
      </w:pPr>
      <w:r w:rsidRPr="00C02056">
        <w:rPr>
          <w:rFonts w:eastAsia="Times New Roman" w:cs="Arial"/>
          <w:lang w:eastAsia="en-GB"/>
        </w:rPr>
        <w:t>Reducing the impact of an incursion and eradication response on market access.</w:t>
      </w:r>
    </w:p>
    <w:p w:rsidR="0080067F" w:rsidRPr="00C02056" w:rsidRDefault="003B5F83" w:rsidP="0080067F">
      <w:pPr>
        <w:spacing w:after="200" w:line="276" w:lineRule="auto"/>
        <w:rPr>
          <w:rFonts w:eastAsia="Times New Roman" w:cs="Arial"/>
          <w:b/>
          <w:lang w:eastAsia="en-GB"/>
        </w:rPr>
      </w:pPr>
      <w:r w:rsidRPr="00C02056">
        <w:rPr>
          <w:rFonts w:eastAsia="Times New Roman" w:cs="Arial"/>
          <w:b/>
          <w:lang w:eastAsia="en-GB"/>
        </w:rPr>
        <w:br/>
      </w:r>
      <w:r w:rsidR="0080067F" w:rsidRPr="00C02056">
        <w:rPr>
          <w:rFonts w:eastAsia="Times New Roman" w:cs="Arial"/>
          <w:b/>
          <w:lang w:eastAsia="en-GB"/>
        </w:rPr>
        <w:t>What is the role of the F</w:t>
      </w:r>
      <w:r w:rsidR="00BD41C6" w:rsidRPr="00C02056">
        <w:rPr>
          <w:rFonts w:eastAsia="Times New Roman" w:cs="Arial"/>
          <w:b/>
          <w:lang w:eastAsia="en-GB"/>
        </w:rPr>
        <w:t>ruit Fly C</w:t>
      </w:r>
      <w:r w:rsidR="0080067F" w:rsidRPr="00C02056">
        <w:rPr>
          <w:rFonts w:eastAsia="Times New Roman" w:cs="Arial"/>
          <w:b/>
          <w:lang w:eastAsia="en-GB"/>
        </w:rPr>
        <w:t>ouncil and are its members?</w:t>
      </w:r>
    </w:p>
    <w:p w:rsidR="0080067F" w:rsidRPr="003F1D6E" w:rsidRDefault="00AB07CB" w:rsidP="0080067F">
      <w:pPr>
        <w:spacing w:after="200" w:line="276" w:lineRule="auto"/>
        <w:rPr>
          <w:rFonts w:eastAsia="Times New Roman" w:cs="Arial"/>
          <w:lang w:eastAsia="en-GB"/>
        </w:rPr>
      </w:pPr>
      <w:r w:rsidRPr="00C02056">
        <w:rPr>
          <w:rFonts w:eastAsia="Times New Roman" w:cs="Arial"/>
          <w:lang w:eastAsia="en-GB"/>
        </w:rPr>
        <w:t xml:space="preserve">Members of the interim Fruit Fly Council (IFFC) include a mix of Deed Signatories and Non-Signatory Beneficiaries that are affected by the fruit. </w:t>
      </w:r>
      <w:r w:rsidR="0080067F" w:rsidRPr="00C02056">
        <w:rPr>
          <w:rFonts w:eastAsia="Times New Roman" w:cs="Arial"/>
          <w:lang w:eastAsia="en-GB"/>
        </w:rPr>
        <w:t>They have been working together to develop an Operational Agreement that will ultimately lead to the reduction of the impacts of fruit fly</w:t>
      </w:r>
      <w:r w:rsidR="0080067F" w:rsidRPr="003F1D6E">
        <w:rPr>
          <w:rFonts w:eastAsia="Times New Roman" w:cs="Arial"/>
          <w:lang w:eastAsia="en-GB"/>
        </w:rPr>
        <w:t>.</w:t>
      </w:r>
      <w:r w:rsidR="00450167" w:rsidRPr="003F1D6E">
        <w:rPr>
          <w:rFonts w:eastAsia="Times New Roman" w:cs="Arial"/>
          <w:lang w:eastAsia="en-GB"/>
        </w:rPr>
        <w:t xml:space="preserve"> Only GIA Signatories can sign the operational agreement.</w:t>
      </w:r>
    </w:p>
    <w:p w:rsidR="0080067F" w:rsidRPr="00C02056" w:rsidRDefault="0080067F" w:rsidP="0080067F">
      <w:pPr>
        <w:spacing w:after="200" w:line="276" w:lineRule="auto"/>
        <w:rPr>
          <w:rFonts w:eastAsia="Times New Roman" w:cs="Arial"/>
          <w:lang w:eastAsia="en-GB"/>
        </w:rPr>
      </w:pPr>
      <w:r w:rsidRPr="003F1D6E">
        <w:rPr>
          <w:rFonts w:eastAsia="Times New Roman" w:cs="Arial"/>
          <w:lang w:eastAsia="en-GB"/>
        </w:rPr>
        <w:t>Members are listed below:</w:t>
      </w:r>
    </w:p>
    <w:p w:rsidR="00AB07CB" w:rsidRPr="0091424B" w:rsidRDefault="00AB07CB" w:rsidP="002F7B10">
      <w:pPr>
        <w:numPr>
          <w:ilvl w:val="0"/>
          <w:numId w:val="22"/>
        </w:numPr>
        <w:spacing w:after="120" w:line="240" w:lineRule="auto"/>
        <w:ind w:left="714" w:hanging="357"/>
        <w:rPr>
          <w:rFonts w:eastAsia="Times New Roman" w:cs="Arial"/>
          <w:lang w:eastAsia="en-GB"/>
        </w:rPr>
      </w:pPr>
      <w:r w:rsidRPr="0091424B">
        <w:rPr>
          <w:rFonts w:eastAsia="Times New Roman" w:cs="Arial"/>
          <w:lang w:eastAsia="en-GB"/>
        </w:rPr>
        <w:t>Philip Manson, New Zealand Winegrowers (Chair of IFFC) representing the grape grower and wine production sectors.</w:t>
      </w:r>
    </w:p>
    <w:p w:rsidR="00AB07CB" w:rsidRPr="0091424B" w:rsidRDefault="00AB07CB" w:rsidP="002F7B10">
      <w:pPr>
        <w:numPr>
          <w:ilvl w:val="0"/>
          <w:numId w:val="22"/>
        </w:numPr>
        <w:spacing w:after="120" w:line="240" w:lineRule="auto"/>
        <w:ind w:left="714" w:hanging="357"/>
        <w:rPr>
          <w:rFonts w:eastAsia="Times New Roman" w:cs="Arial"/>
          <w:lang w:eastAsia="en-GB"/>
        </w:rPr>
      </w:pPr>
      <w:r w:rsidRPr="0091424B">
        <w:rPr>
          <w:rFonts w:eastAsia="Times New Roman" w:cs="Arial"/>
          <w:lang w:eastAsia="en-GB"/>
        </w:rPr>
        <w:t>Alan Pollard, Pipfruit NZ representing the Pipfruit and Nashi/Asian Pear sectors.</w:t>
      </w:r>
    </w:p>
    <w:p w:rsidR="00AB07CB" w:rsidRPr="0091424B" w:rsidRDefault="00AB07CB" w:rsidP="002F7B10">
      <w:pPr>
        <w:numPr>
          <w:ilvl w:val="0"/>
          <w:numId w:val="22"/>
        </w:numPr>
        <w:spacing w:after="120" w:line="240" w:lineRule="auto"/>
        <w:ind w:left="714" w:hanging="357"/>
        <w:rPr>
          <w:rFonts w:eastAsia="Times New Roman" w:cs="Arial"/>
          <w:lang w:eastAsia="en-GB"/>
        </w:rPr>
      </w:pPr>
      <w:r w:rsidRPr="0091424B">
        <w:rPr>
          <w:rFonts w:eastAsia="Times New Roman" w:cs="Arial"/>
          <w:lang w:eastAsia="en-GB"/>
        </w:rPr>
        <w:lastRenderedPageBreak/>
        <w:t>Barry O’Neil, Kiwifruit Vine Health representing the kiwifruit and kiwiberry sectors.</w:t>
      </w:r>
    </w:p>
    <w:p w:rsidR="00AB07CB" w:rsidRPr="0091424B" w:rsidRDefault="00AB07CB" w:rsidP="002F7B10">
      <w:pPr>
        <w:numPr>
          <w:ilvl w:val="0"/>
          <w:numId w:val="22"/>
        </w:numPr>
        <w:spacing w:after="120" w:line="240" w:lineRule="auto"/>
        <w:ind w:left="714" w:hanging="357"/>
        <w:rPr>
          <w:rFonts w:eastAsia="Times New Roman" w:cs="Arial"/>
          <w:lang w:eastAsia="en-GB"/>
        </w:rPr>
      </w:pPr>
      <w:r w:rsidRPr="0091424B">
        <w:rPr>
          <w:rFonts w:eastAsia="Times New Roman" w:cs="Arial"/>
          <w:lang w:eastAsia="en-GB"/>
        </w:rPr>
        <w:t>Jen Scoular, New Zealand Avocado Growers Association Inc. representing the fresh avocado grower sector.</w:t>
      </w:r>
    </w:p>
    <w:p w:rsidR="00AB07CB" w:rsidRPr="0091424B" w:rsidRDefault="00F61BEE" w:rsidP="002F7B10">
      <w:pPr>
        <w:numPr>
          <w:ilvl w:val="0"/>
          <w:numId w:val="22"/>
        </w:numPr>
        <w:spacing w:after="120" w:line="240" w:lineRule="auto"/>
        <w:ind w:left="714" w:hanging="357"/>
        <w:rPr>
          <w:rFonts w:eastAsia="Times New Roman" w:cs="Arial"/>
          <w:lang w:eastAsia="en-GB"/>
        </w:rPr>
      </w:pPr>
      <w:r>
        <w:rPr>
          <w:rFonts w:eastAsia="Times New Roman" w:cs="Arial"/>
          <w:lang w:eastAsia="en-GB"/>
        </w:rPr>
        <w:t>Stephen Odgen</w:t>
      </w:r>
      <w:r w:rsidR="00AB07CB" w:rsidRPr="0091424B">
        <w:rPr>
          <w:rFonts w:eastAsia="Times New Roman" w:cs="Arial"/>
          <w:lang w:eastAsia="en-GB"/>
        </w:rPr>
        <w:t>, New Zealand Citrus Growers Inc. representing fresh citrus grower sector.</w:t>
      </w:r>
    </w:p>
    <w:p w:rsidR="00AB07CB" w:rsidRPr="0091424B" w:rsidRDefault="00AB07CB" w:rsidP="002F7B10">
      <w:pPr>
        <w:numPr>
          <w:ilvl w:val="0"/>
          <w:numId w:val="22"/>
        </w:numPr>
        <w:spacing w:after="120" w:line="240" w:lineRule="auto"/>
        <w:ind w:left="714" w:hanging="357"/>
        <w:rPr>
          <w:rFonts w:eastAsia="Times New Roman" w:cs="Arial"/>
          <w:lang w:eastAsia="en-GB"/>
        </w:rPr>
      </w:pPr>
      <w:r w:rsidRPr="0091424B">
        <w:rPr>
          <w:rFonts w:eastAsia="Times New Roman" w:cs="Arial"/>
          <w:lang w:eastAsia="en-GB"/>
        </w:rPr>
        <w:t>Marie Dawkins, Summerfruit NZ representing Summerfruit sector consisting of apricot, cherry, nectarine, peach and plum growers.</w:t>
      </w:r>
    </w:p>
    <w:p w:rsidR="00AB07CB" w:rsidRPr="0091424B" w:rsidRDefault="00AB07CB" w:rsidP="002F7B10">
      <w:pPr>
        <w:numPr>
          <w:ilvl w:val="0"/>
          <w:numId w:val="22"/>
        </w:numPr>
        <w:spacing w:after="120" w:line="240" w:lineRule="auto"/>
        <w:ind w:left="714" w:hanging="357"/>
        <w:rPr>
          <w:rFonts w:eastAsia="Times New Roman" w:cs="Arial"/>
          <w:lang w:eastAsia="en-GB"/>
        </w:rPr>
      </w:pPr>
      <w:r w:rsidRPr="0091424B">
        <w:rPr>
          <w:rFonts w:eastAsia="Times New Roman" w:cs="Arial"/>
          <w:lang w:eastAsia="en-GB"/>
        </w:rPr>
        <w:t>Gisele Irvine, Market Access Solutionz Ltd, representing Vegetables New Zealand, Strawberry Growers New Zealand, Tomatoes New Zealand, and the New Zealand Buttercup Squash Council.</w:t>
      </w:r>
    </w:p>
    <w:p w:rsidR="00AB07CB" w:rsidRPr="0091424B" w:rsidRDefault="00AB07CB" w:rsidP="002F7B10">
      <w:pPr>
        <w:numPr>
          <w:ilvl w:val="0"/>
          <w:numId w:val="22"/>
        </w:numPr>
        <w:spacing w:after="120" w:line="240" w:lineRule="auto"/>
        <w:ind w:left="714" w:hanging="357"/>
        <w:rPr>
          <w:rFonts w:eastAsia="Times New Roman" w:cs="Arial"/>
          <w:lang w:eastAsia="en-GB"/>
        </w:rPr>
      </w:pPr>
      <w:r w:rsidRPr="0091424B">
        <w:rPr>
          <w:rFonts w:eastAsia="Times New Roman" w:cs="Arial"/>
          <w:lang w:eastAsia="en-GB"/>
        </w:rPr>
        <w:t>Richard Palmer, Horticulture NZ, representing Blackcurrants, Blueberries, Boysenberry, Feijoa, Persimmon, and Tamarillo industry groups.</w:t>
      </w:r>
    </w:p>
    <w:p w:rsidR="00AB07CB" w:rsidRPr="0091424B" w:rsidRDefault="00AB07CB" w:rsidP="002F7B10">
      <w:pPr>
        <w:numPr>
          <w:ilvl w:val="0"/>
          <w:numId w:val="22"/>
        </w:numPr>
        <w:spacing w:after="120" w:line="240" w:lineRule="auto"/>
        <w:ind w:left="714" w:hanging="357"/>
        <w:rPr>
          <w:rFonts w:eastAsia="Times New Roman" w:cs="Arial"/>
          <w:lang w:eastAsia="en-GB"/>
        </w:rPr>
      </w:pPr>
      <w:r w:rsidRPr="0091424B">
        <w:rPr>
          <w:rFonts w:eastAsia="Times New Roman" w:cs="Arial"/>
          <w:lang w:eastAsia="en-GB"/>
        </w:rPr>
        <w:t>David Talbot, Geoff Gwyn and others representing MPI.</w:t>
      </w:r>
    </w:p>
    <w:p w:rsidR="00D60B66" w:rsidRDefault="00D60B66" w:rsidP="00D60B66">
      <w:pPr>
        <w:spacing w:after="200" w:line="276" w:lineRule="auto"/>
        <w:rPr>
          <w:rFonts w:eastAsia="Times New Roman" w:cs="Arial"/>
          <w:b/>
          <w:lang w:eastAsia="en-GB"/>
        </w:rPr>
      </w:pPr>
    </w:p>
    <w:p w:rsidR="00D60B66" w:rsidRPr="003F1D6E" w:rsidRDefault="00D60B66" w:rsidP="00D60B66">
      <w:pPr>
        <w:spacing w:after="200" w:line="276" w:lineRule="auto"/>
        <w:rPr>
          <w:rFonts w:eastAsia="Times New Roman" w:cs="Arial"/>
          <w:b/>
          <w:lang w:eastAsia="en-GB"/>
        </w:rPr>
      </w:pPr>
      <w:r w:rsidRPr="003F1D6E">
        <w:rPr>
          <w:rFonts w:eastAsia="Times New Roman" w:cs="Arial"/>
          <w:b/>
          <w:lang w:eastAsia="en-GB"/>
        </w:rPr>
        <w:t>Who is a signatory to the agreement?</w:t>
      </w:r>
    </w:p>
    <w:p w:rsidR="00D60B66" w:rsidRPr="003F1D6E" w:rsidRDefault="00D60B66" w:rsidP="00D60B66">
      <w:pPr>
        <w:spacing w:after="200" w:line="276" w:lineRule="auto"/>
        <w:rPr>
          <w:rFonts w:eastAsia="Times New Roman" w:cs="Arial"/>
          <w:lang w:eastAsia="en-GB"/>
        </w:rPr>
      </w:pPr>
      <w:r w:rsidRPr="003F1D6E">
        <w:rPr>
          <w:rFonts w:eastAsia="Times New Roman" w:cs="Arial"/>
          <w:lang w:eastAsia="en-GB"/>
        </w:rPr>
        <w:t>Only GIA Signa</w:t>
      </w:r>
      <w:r w:rsidR="00C55BED" w:rsidRPr="003F1D6E">
        <w:rPr>
          <w:rFonts w:eastAsia="Times New Roman" w:cs="Arial"/>
          <w:lang w:eastAsia="en-GB"/>
        </w:rPr>
        <w:t xml:space="preserve">tories can sign the agreement. </w:t>
      </w:r>
      <w:r w:rsidRPr="003F1D6E">
        <w:rPr>
          <w:rFonts w:eastAsia="Times New Roman" w:cs="Arial"/>
          <w:lang w:eastAsia="en-GB"/>
        </w:rPr>
        <w:t>Signatories</w:t>
      </w:r>
      <w:r w:rsidR="005448FC" w:rsidRPr="003F1D6E">
        <w:rPr>
          <w:rFonts w:eastAsia="Times New Roman" w:cs="Arial"/>
          <w:lang w:eastAsia="en-GB"/>
        </w:rPr>
        <w:t xml:space="preserve"> to the agreement</w:t>
      </w:r>
      <w:r w:rsidRPr="003F1D6E">
        <w:rPr>
          <w:rFonts w:eastAsia="Times New Roman" w:cs="Arial"/>
          <w:lang w:eastAsia="en-GB"/>
        </w:rPr>
        <w:t xml:space="preserve"> include: </w:t>
      </w:r>
      <w:r w:rsidR="00356318" w:rsidRPr="003F1D6E">
        <w:rPr>
          <w:rFonts w:eastAsia="Times New Roman" w:cs="Arial"/>
          <w:lang w:eastAsia="en-GB"/>
        </w:rPr>
        <w:t xml:space="preserve"> </w:t>
      </w:r>
    </w:p>
    <w:p w:rsidR="00D60B66" w:rsidRPr="003F1D6E" w:rsidRDefault="00D60B66" w:rsidP="00D60B66">
      <w:pPr>
        <w:numPr>
          <w:ilvl w:val="0"/>
          <w:numId w:val="22"/>
        </w:numPr>
        <w:spacing w:after="200" w:line="276" w:lineRule="auto"/>
        <w:rPr>
          <w:rFonts w:eastAsia="Times New Roman" w:cs="Arial"/>
          <w:lang w:eastAsia="en-GB"/>
        </w:rPr>
      </w:pPr>
      <w:r w:rsidRPr="003F1D6E">
        <w:rPr>
          <w:rFonts w:eastAsia="Times New Roman" w:cs="Arial"/>
          <w:lang w:eastAsia="en-GB"/>
        </w:rPr>
        <w:t>Kiwifruit Vine Health representing the kiwifruit and kiwiberry sectors</w:t>
      </w:r>
    </w:p>
    <w:p w:rsidR="00D60B66" w:rsidRPr="003F1D6E" w:rsidRDefault="00D60B66" w:rsidP="00D60B66">
      <w:pPr>
        <w:numPr>
          <w:ilvl w:val="0"/>
          <w:numId w:val="22"/>
        </w:numPr>
        <w:spacing w:after="200" w:line="276" w:lineRule="auto"/>
        <w:rPr>
          <w:rFonts w:eastAsia="Times New Roman" w:cs="Arial"/>
          <w:lang w:eastAsia="en-GB"/>
        </w:rPr>
      </w:pPr>
      <w:r w:rsidRPr="003F1D6E">
        <w:rPr>
          <w:rFonts w:eastAsia="Times New Roman" w:cs="Arial"/>
          <w:lang w:eastAsia="en-GB"/>
        </w:rPr>
        <w:t>Pipfruit New Zealand Incorporated, representing the Pipfruit and Nashi/Asian Pear sectors</w:t>
      </w:r>
    </w:p>
    <w:p w:rsidR="00D60B66" w:rsidRPr="003F1D6E" w:rsidRDefault="00D60B66" w:rsidP="00D60B66">
      <w:pPr>
        <w:numPr>
          <w:ilvl w:val="0"/>
          <w:numId w:val="22"/>
        </w:numPr>
        <w:spacing w:after="200" w:line="276" w:lineRule="auto"/>
        <w:rPr>
          <w:rFonts w:eastAsia="Times New Roman" w:cs="Arial"/>
          <w:lang w:eastAsia="en-GB"/>
        </w:rPr>
      </w:pPr>
      <w:r w:rsidRPr="003F1D6E">
        <w:rPr>
          <w:rFonts w:eastAsia="Times New Roman" w:cs="Arial"/>
          <w:lang w:eastAsia="en-GB"/>
        </w:rPr>
        <w:t>New Zealand Avocado Growers Association Inc. representing the fresh avocado grower sector</w:t>
      </w:r>
    </w:p>
    <w:p w:rsidR="00D60B66" w:rsidRPr="003F1D6E" w:rsidRDefault="00D60B66" w:rsidP="00D60B66">
      <w:pPr>
        <w:numPr>
          <w:ilvl w:val="0"/>
          <w:numId w:val="22"/>
        </w:numPr>
        <w:spacing w:after="200" w:line="276" w:lineRule="auto"/>
        <w:rPr>
          <w:rFonts w:eastAsia="Times New Roman" w:cs="Arial"/>
          <w:lang w:eastAsia="en-GB"/>
        </w:rPr>
      </w:pPr>
      <w:r w:rsidRPr="003F1D6E">
        <w:rPr>
          <w:rFonts w:eastAsia="Times New Roman" w:cs="Arial"/>
          <w:lang w:eastAsia="en-GB"/>
        </w:rPr>
        <w:t>New Zealand Citrus Growers Inc. representing fresh citrus grower sector</w:t>
      </w:r>
    </w:p>
    <w:p w:rsidR="00D60B66" w:rsidRPr="003F1D6E" w:rsidRDefault="00D60B66" w:rsidP="00D60B66">
      <w:pPr>
        <w:numPr>
          <w:ilvl w:val="0"/>
          <w:numId w:val="22"/>
        </w:numPr>
        <w:spacing w:after="200" w:line="276" w:lineRule="auto"/>
        <w:rPr>
          <w:rFonts w:eastAsia="Times New Roman" w:cs="Arial"/>
          <w:lang w:eastAsia="en-GB"/>
        </w:rPr>
      </w:pPr>
      <w:r w:rsidRPr="003F1D6E">
        <w:rPr>
          <w:rFonts w:eastAsia="Times New Roman" w:cs="Arial"/>
          <w:lang w:eastAsia="en-GB"/>
        </w:rPr>
        <w:t>MPI, representing the Government</w:t>
      </w:r>
      <w:r w:rsidR="00131BC5" w:rsidRPr="003F1D6E">
        <w:rPr>
          <w:rFonts w:eastAsia="Times New Roman" w:cs="Arial"/>
          <w:lang w:eastAsia="en-GB"/>
        </w:rPr>
        <w:t>.</w:t>
      </w:r>
    </w:p>
    <w:p w:rsidR="003B5F83" w:rsidRPr="003F1D6E" w:rsidRDefault="00D60B66" w:rsidP="003B5F83">
      <w:pPr>
        <w:spacing w:after="200" w:line="276" w:lineRule="auto"/>
        <w:rPr>
          <w:rFonts w:eastAsia="Times New Roman" w:cs="Arial"/>
          <w:b/>
          <w:lang w:eastAsia="en-GB"/>
        </w:rPr>
      </w:pPr>
      <w:r w:rsidRPr="003F1D6E">
        <w:rPr>
          <w:rFonts w:eastAsia="Times New Roman" w:cs="Arial"/>
          <w:b/>
          <w:lang w:eastAsia="en-GB"/>
        </w:rPr>
        <w:br/>
      </w:r>
      <w:r w:rsidR="003B5F83" w:rsidRPr="003F1D6E">
        <w:rPr>
          <w:rFonts w:eastAsia="Times New Roman" w:cs="Arial"/>
          <w:b/>
          <w:lang w:eastAsia="en-GB"/>
        </w:rPr>
        <w:t xml:space="preserve">How binding is this OA? </w:t>
      </w:r>
    </w:p>
    <w:p w:rsidR="003B5F83" w:rsidRPr="003F1D6E" w:rsidRDefault="003B5F83" w:rsidP="003B5F83">
      <w:pPr>
        <w:spacing w:after="200" w:line="276" w:lineRule="auto"/>
        <w:rPr>
          <w:rFonts w:eastAsia="Times New Roman" w:cs="Arial"/>
          <w:lang w:eastAsia="en-GB"/>
        </w:rPr>
      </w:pPr>
      <w:r w:rsidRPr="003F1D6E">
        <w:rPr>
          <w:rFonts w:eastAsia="Times New Roman" w:cs="Arial"/>
          <w:lang w:eastAsia="en-GB"/>
        </w:rPr>
        <w:t xml:space="preserve">This is a legally binding agreement </w:t>
      </w:r>
      <w:r w:rsidR="00266FB3" w:rsidRPr="003F1D6E">
        <w:rPr>
          <w:rFonts w:eastAsia="Times New Roman" w:cs="Arial"/>
          <w:lang w:eastAsia="en-GB"/>
        </w:rPr>
        <w:t>on all of the parties.</w:t>
      </w:r>
    </w:p>
    <w:p w:rsidR="000F224D" w:rsidRPr="003F1D6E" w:rsidRDefault="00AD53A2" w:rsidP="000F224D">
      <w:pPr>
        <w:spacing w:after="200" w:line="276" w:lineRule="auto"/>
        <w:rPr>
          <w:rFonts w:eastAsia="Times New Roman" w:cs="Arial"/>
          <w:b/>
          <w:lang w:eastAsia="en-GB"/>
        </w:rPr>
      </w:pPr>
      <w:r w:rsidRPr="003F1D6E">
        <w:rPr>
          <w:rFonts w:eastAsia="Times New Roman" w:cs="Arial"/>
          <w:b/>
          <w:lang w:eastAsia="en-GB"/>
        </w:rPr>
        <w:br/>
      </w:r>
      <w:r w:rsidR="0080067F" w:rsidRPr="003F1D6E">
        <w:rPr>
          <w:rFonts w:eastAsia="Times New Roman" w:cs="Arial"/>
          <w:b/>
          <w:lang w:eastAsia="en-GB"/>
        </w:rPr>
        <w:t>Is the OA available to view</w:t>
      </w:r>
      <w:r w:rsidR="000F224D" w:rsidRPr="003F1D6E">
        <w:rPr>
          <w:rFonts w:eastAsia="Times New Roman" w:cs="Arial"/>
          <w:b/>
          <w:lang w:eastAsia="en-GB"/>
        </w:rPr>
        <w:t>?</w:t>
      </w:r>
    </w:p>
    <w:p w:rsidR="000F224D" w:rsidRPr="003F1D6E" w:rsidRDefault="0080067F" w:rsidP="0080067F">
      <w:pPr>
        <w:spacing w:after="200" w:line="276" w:lineRule="auto"/>
        <w:rPr>
          <w:rFonts w:eastAsia="Times New Roman" w:cs="Arial"/>
          <w:b/>
          <w:lang w:eastAsia="en-GB"/>
        </w:rPr>
      </w:pPr>
      <w:r w:rsidRPr="003F1D6E">
        <w:rPr>
          <w:rFonts w:eastAsia="Times New Roman" w:cs="Arial"/>
          <w:lang w:eastAsia="en-GB"/>
        </w:rPr>
        <w:t xml:space="preserve">There is a summary document of the OA available on the GIA website. A copy of the </w:t>
      </w:r>
      <w:r w:rsidR="00266FB3" w:rsidRPr="003F1D6E">
        <w:rPr>
          <w:rFonts w:eastAsia="Times New Roman" w:cs="Arial"/>
          <w:lang w:eastAsia="en-GB"/>
        </w:rPr>
        <w:t xml:space="preserve">full operational agreement </w:t>
      </w:r>
      <w:r w:rsidRPr="003F1D6E">
        <w:rPr>
          <w:rFonts w:eastAsia="Times New Roman" w:cs="Arial"/>
          <w:lang w:eastAsia="en-GB"/>
        </w:rPr>
        <w:t xml:space="preserve">is available upon request. </w:t>
      </w:r>
    </w:p>
    <w:p w:rsidR="000F224D" w:rsidRPr="003F1D6E" w:rsidRDefault="004F08E2" w:rsidP="000F224D">
      <w:pPr>
        <w:spacing w:after="200" w:line="276" w:lineRule="auto"/>
        <w:rPr>
          <w:rFonts w:eastAsia="Times New Roman" w:cs="Arial"/>
          <w:b/>
          <w:lang w:eastAsia="en-GB"/>
        </w:rPr>
      </w:pPr>
      <w:r w:rsidRPr="003F1D6E">
        <w:rPr>
          <w:rFonts w:eastAsia="Times New Roman" w:cs="Arial"/>
          <w:b/>
          <w:lang w:eastAsia="en-GB"/>
        </w:rPr>
        <w:br/>
      </w:r>
      <w:r w:rsidR="000F224D" w:rsidRPr="003F1D6E">
        <w:rPr>
          <w:rFonts w:eastAsia="Times New Roman" w:cs="Arial"/>
          <w:b/>
          <w:lang w:eastAsia="en-GB"/>
        </w:rPr>
        <w:t xml:space="preserve">How does this project relate to the </w:t>
      </w:r>
      <w:r w:rsidR="00C32E5B" w:rsidRPr="003F1D6E">
        <w:rPr>
          <w:rFonts w:eastAsia="Times New Roman" w:cs="Arial"/>
          <w:b/>
          <w:lang w:eastAsia="en-GB"/>
        </w:rPr>
        <w:t>GIA initiative?</w:t>
      </w:r>
    </w:p>
    <w:p w:rsidR="00F61BEE" w:rsidRPr="003F1D6E" w:rsidRDefault="00F61BEE" w:rsidP="00F61BEE">
      <w:pPr>
        <w:spacing w:after="200" w:line="276" w:lineRule="auto"/>
        <w:rPr>
          <w:rFonts w:eastAsia="Times New Roman" w:cs="Arial"/>
          <w:lang w:eastAsia="en-GB"/>
        </w:rPr>
      </w:pPr>
      <w:r w:rsidRPr="003F1D6E">
        <w:rPr>
          <w:rFonts w:eastAsia="Times New Roman" w:cs="Arial"/>
          <w:lang w:eastAsia="en-GB"/>
        </w:rPr>
        <w:t xml:space="preserve"> The primary mechanisms for implementing the GIA Deed are Operational Agreements. They provide for joint decision-making and investment between Deed Signatories, in order to achieve specific outcomes for enhanced readiness and response.</w:t>
      </w:r>
    </w:p>
    <w:p w:rsidR="00173F5C" w:rsidRPr="003F1D6E" w:rsidRDefault="00F61BEE" w:rsidP="00173F5C">
      <w:pPr>
        <w:spacing w:after="200" w:line="276" w:lineRule="auto"/>
        <w:rPr>
          <w:rFonts w:eastAsia="Times New Roman" w:cs="Arial"/>
          <w:lang w:eastAsia="en-GB"/>
        </w:rPr>
      </w:pPr>
      <w:r w:rsidRPr="003F1D6E">
        <w:rPr>
          <w:rFonts w:eastAsia="Times New Roman" w:cs="Arial"/>
          <w:lang w:eastAsia="en-GB"/>
        </w:rPr>
        <w:lastRenderedPageBreak/>
        <w:t xml:space="preserve">The parties to the operational agreement are all GIA Signatories. Through their membership of the FFC they will govern fruit fly management activities and represents a good example of how the GIA partnership changes the way biosecurity threats are managed and how services are delivered. </w:t>
      </w:r>
    </w:p>
    <w:p w:rsidR="00642581" w:rsidRPr="003F1D6E" w:rsidRDefault="00642581" w:rsidP="00FC39EC">
      <w:pPr>
        <w:spacing w:after="200" w:line="276" w:lineRule="auto"/>
        <w:rPr>
          <w:rFonts w:eastAsia="Times New Roman" w:cs="Arial"/>
          <w:b/>
          <w:lang w:eastAsia="en-GB"/>
        </w:rPr>
      </w:pPr>
    </w:p>
    <w:p w:rsidR="00266FB3" w:rsidRPr="003F1D6E" w:rsidRDefault="00537B18" w:rsidP="00FC39EC">
      <w:pPr>
        <w:spacing w:after="200" w:line="276" w:lineRule="auto"/>
        <w:rPr>
          <w:rFonts w:eastAsia="Times New Roman" w:cs="Arial"/>
          <w:b/>
          <w:lang w:eastAsia="en-GB"/>
        </w:rPr>
      </w:pPr>
      <w:r w:rsidRPr="003F1D6E">
        <w:rPr>
          <w:rFonts w:eastAsia="Times New Roman" w:cs="Arial"/>
          <w:b/>
          <w:lang w:eastAsia="en-GB"/>
        </w:rPr>
        <w:br/>
      </w:r>
      <w:r w:rsidR="000E5AF6" w:rsidRPr="003F1D6E">
        <w:rPr>
          <w:rFonts w:eastAsia="Times New Roman" w:cs="Arial"/>
          <w:b/>
          <w:lang w:eastAsia="en-GB"/>
        </w:rPr>
        <w:t>Why has this taken so long and why are there no other signed OAs?</w:t>
      </w:r>
    </w:p>
    <w:p w:rsidR="00266FB3" w:rsidRPr="003F1D6E" w:rsidRDefault="00CC57E2" w:rsidP="00FC39EC">
      <w:pPr>
        <w:spacing w:after="200" w:line="276" w:lineRule="auto"/>
        <w:rPr>
          <w:rFonts w:eastAsia="Times New Roman" w:cs="Arial"/>
          <w:lang w:eastAsia="en-GB"/>
        </w:rPr>
      </w:pPr>
      <w:r w:rsidRPr="003F1D6E">
        <w:rPr>
          <w:rFonts w:eastAsia="Times New Roman" w:cs="Arial"/>
          <w:lang w:eastAsia="en-GB"/>
        </w:rPr>
        <w:t xml:space="preserve">GIA is not scheduled to be fully operational until the introduction of the response cost-sharing from mid-2017. The negotiation of the fruit fly operational agreement has been </w:t>
      </w:r>
      <w:r w:rsidR="009A3AE3" w:rsidRPr="003F1D6E">
        <w:rPr>
          <w:rFonts w:eastAsia="Times New Roman" w:cs="Arial"/>
          <w:lang w:eastAsia="en-GB"/>
        </w:rPr>
        <w:t xml:space="preserve">a </w:t>
      </w:r>
      <w:r w:rsidRPr="003F1D6E">
        <w:rPr>
          <w:rFonts w:eastAsia="Times New Roman" w:cs="Arial"/>
          <w:lang w:eastAsia="en-GB"/>
        </w:rPr>
        <w:t>ground</w:t>
      </w:r>
      <w:r w:rsidR="009A3AE3" w:rsidRPr="003F1D6E">
        <w:rPr>
          <w:rFonts w:eastAsia="Times New Roman" w:cs="Arial"/>
          <w:lang w:eastAsia="en-GB"/>
        </w:rPr>
        <w:t>-</w:t>
      </w:r>
      <w:r w:rsidR="00537B18" w:rsidRPr="003F1D6E">
        <w:rPr>
          <w:rFonts w:eastAsia="Times New Roman" w:cs="Arial"/>
          <w:lang w:eastAsia="en-GB"/>
        </w:rPr>
        <w:t>breaking good faith exercise between government and industry groups</w:t>
      </w:r>
      <w:r w:rsidR="009A3AE3" w:rsidRPr="003F1D6E">
        <w:rPr>
          <w:rFonts w:eastAsia="Times New Roman" w:cs="Arial"/>
          <w:lang w:eastAsia="en-GB"/>
        </w:rPr>
        <w:t>, agreeing matters not previously negotiated. Given the newness of the approach and the number of different parties involved, the negotiation process</w:t>
      </w:r>
      <w:r w:rsidR="000E5AF6" w:rsidRPr="003F1D6E">
        <w:rPr>
          <w:rFonts w:eastAsia="Times New Roman" w:cs="Arial"/>
          <w:lang w:eastAsia="en-GB"/>
        </w:rPr>
        <w:t xml:space="preserve"> has taken some time to reach a consensus</w:t>
      </w:r>
      <w:r w:rsidR="009A3AE3" w:rsidRPr="003F1D6E">
        <w:rPr>
          <w:rFonts w:eastAsia="Times New Roman" w:cs="Arial"/>
          <w:lang w:eastAsia="en-GB"/>
        </w:rPr>
        <w:t xml:space="preserve">. With the first operational agreement now signed, much of the underlying GIA policy work has been agreed and we expect future OAs for other pests and sectors will soon follow. </w:t>
      </w:r>
    </w:p>
    <w:p w:rsidR="00EC648D" w:rsidRPr="003F1D6E" w:rsidRDefault="00EC648D" w:rsidP="00EC648D">
      <w:pPr>
        <w:spacing w:after="200" w:line="276" w:lineRule="auto"/>
        <w:rPr>
          <w:rFonts w:eastAsia="Times New Roman" w:cs="Arial"/>
          <w:b/>
          <w:lang w:eastAsia="en-GB"/>
        </w:rPr>
      </w:pPr>
      <w:r w:rsidRPr="003F1D6E">
        <w:rPr>
          <w:rFonts w:eastAsia="Times New Roman" w:cs="Arial"/>
          <w:b/>
          <w:lang w:eastAsia="en-GB"/>
        </w:rPr>
        <w:t>How will non-Signatory beneficiaries be treated?</w:t>
      </w:r>
    </w:p>
    <w:p w:rsidR="00EC648D" w:rsidRPr="003F1D6E" w:rsidRDefault="00EC648D" w:rsidP="00EC648D">
      <w:pPr>
        <w:spacing w:after="200" w:line="276" w:lineRule="auto"/>
        <w:rPr>
          <w:rFonts w:eastAsia="Times New Roman" w:cs="Arial"/>
          <w:lang w:eastAsia="en-GB"/>
        </w:rPr>
      </w:pPr>
      <w:r w:rsidRPr="003F1D6E">
        <w:rPr>
          <w:rFonts w:eastAsia="Times New Roman" w:cs="Arial"/>
          <w:lang w:eastAsia="en-GB"/>
        </w:rPr>
        <w:t xml:space="preserve">MPI will seek to cost recover from non-Signatory beneficiaries identified in the Operational Agreement when the cost recovery mechanism has been implemented, and where it is cost effective to do so.  </w:t>
      </w:r>
    </w:p>
    <w:p w:rsidR="00173F5C" w:rsidRPr="003F1D6E" w:rsidRDefault="00173F5C" w:rsidP="00FC39EC">
      <w:pPr>
        <w:spacing w:after="200" w:line="276" w:lineRule="auto"/>
        <w:rPr>
          <w:rFonts w:eastAsia="Times New Roman" w:cs="Arial"/>
          <w:b/>
          <w:lang w:eastAsia="en-GB"/>
        </w:rPr>
      </w:pPr>
      <w:r w:rsidRPr="003F1D6E">
        <w:rPr>
          <w:rFonts w:eastAsia="Times New Roman" w:cs="Arial"/>
          <w:b/>
          <w:lang w:eastAsia="en-GB"/>
        </w:rPr>
        <w:t>How will the cost- sharing be allocated?</w:t>
      </w:r>
    </w:p>
    <w:p w:rsidR="00173F5C" w:rsidRPr="003F1D6E" w:rsidRDefault="00173F5C" w:rsidP="00215819">
      <w:pPr>
        <w:numPr>
          <w:ilvl w:val="0"/>
          <w:numId w:val="33"/>
        </w:numPr>
        <w:spacing w:after="120" w:line="240" w:lineRule="auto"/>
        <w:ind w:hanging="357"/>
        <w:rPr>
          <w:rFonts w:eastAsia="Times New Roman" w:cs="Arial"/>
          <w:lang w:eastAsia="en-GB"/>
        </w:rPr>
      </w:pPr>
      <w:r w:rsidRPr="003F1D6E">
        <w:rPr>
          <w:rFonts w:eastAsia="Times New Roman" w:cs="Arial"/>
          <w:lang w:eastAsia="en-GB"/>
        </w:rPr>
        <w:t xml:space="preserve">Cost sharing for fruit fly readiness and response activities commences when the OA comes into full effect in 2017. </w:t>
      </w:r>
      <w:r w:rsidR="00161CA5" w:rsidRPr="003F1D6E">
        <w:rPr>
          <w:rFonts w:eastAsia="Times New Roman" w:cs="Arial"/>
          <w:lang w:eastAsia="en-GB"/>
        </w:rPr>
        <w:t>In the meantime, industry and government have agreed a programme to co-fund any related activities.</w:t>
      </w:r>
      <w:r w:rsidR="00161CA5" w:rsidRPr="003F1D6E">
        <w:rPr>
          <w:rFonts w:eastAsia="Times New Roman" w:cs="Arial"/>
          <w:b/>
          <w:lang w:eastAsia="en-GB"/>
        </w:rPr>
        <w:t xml:space="preserve">  </w:t>
      </w:r>
    </w:p>
    <w:p w:rsidR="00173F5C" w:rsidRPr="003F1D6E" w:rsidRDefault="00173F5C" w:rsidP="00215819">
      <w:pPr>
        <w:numPr>
          <w:ilvl w:val="0"/>
          <w:numId w:val="33"/>
        </w:numPr>
        <w:spacing w:after="120" w:line="240" w:lineRule="auto"/>
        <w:ind w:hanging="357"/>
        <w:rPr>
          <w:rFonts w:eastAsia="Times New Roman" w:cs="Arial"/>
          <w:lang w:eastAsia="en-GB"/>
        </w:rPr>
      </w:pPr>
      <w:r w:rsidRPr="003F1D6E">
        <w:rPr>
          <w:rFonts w:eastAsia="Times New Roman" w:cs="Arial"/>
          <w:lang w:eastAsia="en-GB"/>
        </w:rPr>
        <w:t>The costs will be shared by the Government and industry as follows:</w:t>
      </w:r>
    </w:p>
    <w:p w:rsidR="00173F5C" w:rsidRPr="003F1D6E" w:rsidRDefault="00173F5C" w:rsidP="00215819">
      <w:pPr>
        <w:numPr>
          <w:ilvl w:val="1"/>
          <w:numId w:val="33"/>
        </w:numPr>
        <w:spacing w:after="120" w:line="240" w:lineRule="auto"/>
        <w:ind w:hanging="357"/>
        <w:rPr>
          <w:rFonts w:eastAsia="Times New Roman" w:cs="Arial"/>
          <w:lang w:eastAsia="en-GB"/>
        </w:rPr>
      </w:pPr>
      <w:r w:rsidRPr="003F1D6E">
        <w:rPr>
          <w:rFonts w:eastAsia="Times New Roman" w:cs="Arial"/>
          <w:lang w:eastAsia="en-GB"/>
        </w:rPr>
        <w:t>70% Govt:30% Industry for readiness (annual cost)</w:t>
      </w:r>
    </w:p>
    <w:p w:rsidR="00173F5C" w:rsidRPr="003F1D6E" w:rsidRDefault="00173F5C" w:rsidP="00215819">
      <w:pPr>
        <w:numPr>
          <w:ilvl w:val="1"/>
          <w:numId w:val="33"/>
        </w:numPr>
        <w:spacing w:after="120" w:line="240" w:lineRule="auto"/>
        <w:ind w:hanging="357"/>
        <w:rPr>
          <w:rFonts w:eastAsia="Times New Roman" w:cs="Arial"/>
          <w:lang w:eastAsia="en-GB"/>
        </w:rPr>
      </w:pPr>
      <w:r w:rsidRPr="003F1D6E">
        <w:rPr>
          <w:rFonts w:eastAsia="Times New Roman" w:cs="Arial"/>
          <w:lang w:eastAsia="en-GB"/>
        </w:rPr>
        <w:t>70% Govt:30% Industry for a Level 1 response</w:t>
      </w:r>
    </w:p>
    <w:p w:rsidR="00173F5C" w:rsidRPr="003F1D6E" w:rsidRDefault="00173F5C" w:rsidP="00215819">
      <w:pPr>
        <w:numPr>
          <w:ilvl w:val="1"/>
          <w:numId w:val="33"/>
        </w:numPr>
        <w:spacing w:after="120" w:line="240" w:lineRule="auto"/>
        <w:ind w:hanging="357"/>
        <w:rPr>
          <w:rFonts w:eastAsia="Times New Roman" w:cs="Arial"/>
          <w:lang w:eastAsia="en-GB"/>
        </w:rPr>
      </w:pPr>
      <w:r w:rsidRPr="003F1D6E">
        <w:rPr>
          <w:rFonts w:eastAsia="Times New Roman" w:cs="Arial"/>
          <w:lang w:eastAsia="en-GB"/>
        </w:rPr>
        <w:t>80% Govt:20% Industry for a Level 2 response</w:t>
      </w:r>
    </w:p>
    <w:p w:rsidR="00173F5C" w:rsidRPr="003F1D6E" w:rsidRDefault="00173F5C" w:rsidP="00215819">
      <w:pPr>
        <w:numPr>
          <w:ilvl w:val="1"/>
          <w:numId w:val="33"/>
        </w:numPr>
        <w:spacing w:after="120" w:line="240" w:lineRule="auto"/>
        <w:ind w:hanging="357"/>
        <w:rPr>
          <w:rFonts w:eastAsia="Times New Roman" w:cs="Arial"/>
          <w:lang w:eastAsia="en-GB"/>
        </w:rPr>
      </w:pPr>
      <w:r w:rsidRPr="003F1D6E">
        <w:rPr>
          <w:rFonts w:eastAsia="Times New Roman" w:cs="Arial"/>
          <w:lang w:eastAsia="en-GB"/>
        </w:rPr>
        <w:t>90% Govt:10% Industry for a Level 3 response</w:t>
      </w:r>
    </w:p>
    <w:p w:rsidR="00173F5C" w:rsidRPr="003F1D6E" w:rsidRDefault="00173F5C" w:rsidP="00215819">
      <w:pPr>
        <w:numPr>
          <w:ilvl w:val="0"/>
          <w:numId w:val="34"/>
        </w:numPr>
        <w:spacing w:after="120" w:line="240" w:lineRule="auto"/>
        <w:ind w:hanging="357"/>
        <w:rPr>
          <w:rFonts w:eastAsia="Times New Roman" w:cs="Arial"/>
          <w:lang w:eastAsia="en-GB"/>
        </w:rPr>
      </w:pPr>
      <w:r w:rsidRPr="003F1D6E">
        <w:rPr>
          <w:rFonts w:eastAsia="Times New Roman" w:cs="Arial"/>
          <w:lang w:eastAsia="en-GB"/>
        </w:rPr>
        <w:t>The Government will pay the first 20% of costs on behalf of risk exacerbators</w:t>
      </w:r>
    </w:p>
    <w:p w:rsidR="00173F5C" w:rsidRPr="003F1D6E" w:rsidRDefault="00173F5C" w:rsidP="00215819">
      <w:pPr>
        <w:numPr>
          <w:ilvl w:val="0"/>
          <w:numId w:val="34"/>
        </w:numPr>
        <w:spacing w:after="120" w:line="240" w:lineRule="auto"/>
        <w:ind w:hanging="357"/>
        <w:rPr>
          <w:rFonts w:eastAsia="Times New Roman" w:cs="Arial"/>
          <w:lang w:eastAsia="en-GB"/>
        </w:rPr>
      </w:pPr>
      <w:r w:rsidRPr="003F1D6E">
        <w:rPr>
          <w:rFonts w:eastAsia="Times New Roman" w:cs="Arial"/>
          <w:lang w:eastAsia="en-GB"/>
        </w:rPr>
        <w:t>Industry cost shares will be shared based on industry value (first point of sale averaged over 4 years), which will be updated annually.</w:t>
      </w:r>
    </w:p>
    <w:p w:rsidR="00173F5C" w:rsidRPr="003F1D6E" w:rsidRDefault="00173F5C" w:rsidP="00215819">
      <w:pPr>
        <w:numPr>
          <w:ilvl w:val="0"/>
          <w:numId w:val="34"/>
        </w:numPr>
        <w:spacing w:after="120" w:line="240" w:lineRule="auto"/>
        <w:ind w:hanging="357"/>
        <w:rPr>
          <w:rFonts w:eastAsia="Times New Roman" w:cs="Arial"/>
          <w:lang w:eastAsia="en-GB"/>
        </w:rPr>
      </w:pPr>
      <w:r w:rsidRPr="003F1D6E">
        <w:rPr>
          <w:rFonts w:eastAsia="Times New Roman" w:cs="Arial"/>
          <w:lang w:eastAsia="en-GB"/>
        </w:rPr>
        <w:t xml:space="preserve">Contributions can also be made to readiness and response activities in the form of in-kind contributions. </w:t>
      </w:r>
    </w:p>
    <w:p w:rsidR="00173F5C" w:rsidRPr="003F1D6E" w:rsidRDefault="00173F5C" w:rsidP="00215819">
      <w:pPr>
        <w:pStyle w:val="ListParagraph"/>
        <w:numPr>
          <w:ilvl w:val="0"/>
          <w:numId w:val="34"/>
        </w:numPr>
        <w:spacing w:after="120" w:line="240" w:lineRule="auto"/>
        <w:ind w:hanging="357"/>
        <w:rPr>
          <w:rFonts w:eastAsia="Times New Roman" w:cs="Arial"/>
          <w:lang w:eastAsia="en-GB"/>
        </w:rPr>
      </w:pPr>
      <w:r w:rsidRPr="003F1D6E">
        <w:rPr>
          <w:rFonts w:eastAsia="Times New Roman" w:cs="Arial"/>
          <w:lang w:eastAsia="en-GB"/>
        </w:rPr>
        <w:t xml:space="preserve">Costs associated with readiness will occur every year, but costs for responses will occur only when fruit fly is detected in New Zealand.  </w:t>
      </w:r>
    </w:p>
    <w:p w:rsidR="00E630EE" w:rsidRPr="003F1D6E" w:rsidRDefault="00AD53A2" w:rsidP="00161CA5">
      <w:pPr>
        <w:spacing w:after="200" w:line="276" w:lineRule="auto"/>
        <w:rPr>
          <w:rFonts w:eastAsia="Times New Roman" w:cs="Arial"/>
          <w:b/>
          <w:lang w:eastAsia="en-GB"/>
        </w:rPr>
      </w:pPr>
      <w:r w:rsidRPr="003F1D6E">
        <w:rPr>
          <w:rFonts w:eastAsia="Times New Roman" w:cs="Arial"/>
          <w:b/>
          <w:lang w:eastAsia="en-GB"/>
        </w:rPr>
        <w:br/>
      </w:r>
    </w:p>
    <w:p w:rsidR="00E630EE" w:rsidRPr="003F1D6E" w:rsidRDefault="00E630EE" w:rsidP="00161CA5">
      <w:pPr>
        <w:spacing w:after="200" w:line="276" w:lineRule="auto"/>
        <w:rPr>
          <w:rFonts w:eastAsia="Times New Roman" w:cs="Arial"/>
          <w:b/>
          <w:lang w:eastAsia="en-GB"/>
        </w:rPr>
      </w:pPr>
    </w:p>
    <w:p w:rsidR="00266FB3" w:rsidRPr="003F1D6E" w:rsidRDefault="00266FB3" w:rsidP="00161CA5">
      <w:pPr>
        <w:spacing w:after="200" w:line="276" w:lineRule="auto"/>
        <w:rPr>
          <w:rFonts w:eastAsia="Times New Roman" w:cs="Arial"/>
          <w:b/>
          <w:lang w:eastAsia="en-GB"/>
        </w:rPr>
      </w:pPr>
      <w:r w:rsidRPr="003F1D6E">
        <w:rPr>
          <w:rFonts w:eastAsia="Times New Roman" w:cs="Arial"/>
          <w:b/>
          <w:lang w:eastAsia="en-GB"/>
        </w:rPr>
        <w:lastRenderedPageBreak/>
        <w:t>What is GIA and who has signed up?</w:t>
      </w:r>
    </w:p>
    <w:p w:rsidR="00A119EF" w:rsidRPr="003F1D6E" w:rsidRDefault="00A119EF" w:rsidP="00A119EF">
      <w:pPr>
        <w:spacing w:after="200" w:line="276" w:lineRule="auto"/>
        <w:rPr>
          <w:rFonts w:eastAsia="Times New Roman" w:cs="Arial"/>
          <w:lang w:eastAsia="en-GB"/>
        </w:rPr>
      </w:pPr>
      <w:r w:rsidRPr="003F1D6E">
        <w:rPr>
          <w:rFonts w:eastAsia="Times New Roman" w:cs="Arial"/>
          <w:lang w:eastAsia="en-GB"/>
        </w:rPr>
        <w:t>The Government Industry Agreement for Biosecurity Readiness and Response (GIA) is a partnership between government and industry for improving New Zealand’s biosecurity.</w:t>
      </w:r>
    </w:p>
    <w:p w:rsidR="00191E1B" w:rsidRPr="003F1D6E" w:rsidRDefault="00A119EF" w:rsidP="00AD53A2">
      <w:pPr>
        <w:spacing w:after="200" w:line="276" w:lineRule="auto"/>
        <w:rPr>
          <w:rFonts w:eastAsia="Times New Roman" w:cs="Arial"/>
          <w:lang w:eastAsia="en-GB"/>
        </w:rPr>
      </w:pPr>
      <w:r w:rsidRPr="003F1D6E">
        <w:rPr>
          <w:rFonts w:eastAsia="Times New Roman" w:cs="Arial"/>
          <w:lang w:eastAsia="en-GB"/>
        </w:rPr>
        <w:t xml:space="preserve">The GIA Deed (the Deed) establishes the basis for the partnership and came into effect in May 2014. </w:t>
      </w:r>
      <w:r w:rsidR="00AD53A2" w:rsidRPr="003F1D6E">
        <w:rPr>
          <w:rFonts w:eastAsia="Times New Roman" w:cs="Arial"/>
          <w:lang w:eastAsia="en-GB"/>
        </w:rPr>
        <w:t>P</w:t>
      </w:r>
      <w:r w:rsidR="00191E1B" w:rsidRPr="003F1D6E">
        <w:rPr>
          <w:rFonts w:eastAsia="Times New Roman" w:cs="Arial"/>
          <w:lang w:eastAsia="en-GB"/>
        </w:rPr>
        <w:t xml:space="preserve">rimary industry organisations </w:t>
      </w:r>
      <w:r w:rsidR="00AD53A2" w:rsidRPr="003F1D6E">
        <w:rPr>
          <w:rFonts w:eastAsia="Times New Roman" w:cs="Arial"/>
          <w:lang w:eastAsia="en-GB"/>
        </w:rPr>
        <w:t>join GIA by signing</w:t>
      </w:r>
      <w:r w:rsidR="00191E1B" w:rsidRPr="003F1D6E">
        <w:rPr>
          <w:rFonts w:eastAsia="Times New Roman" w:cs="Arial"/>
          <w:lang w:eastAsia="en-GB"/>
        </w:rPr>
        <w:t xml:space="preserve"> up to the GIA Deed. </w:t>
      </w:r>
      <w:r w:rsidR="00AD53A2" w:rsidRPr="003F1D6E">
        <w:rPr>
          <w:rFonts w:eastAsia="Times New Roman" w:cs="Arial"/>
          <w:lang w:eastAsia="en-GB"/>
        </w:rPr>
        <w:t>The scope of the GIA Deed covers joint decision-making, sharing of costs for agreed readiness and response activities and engagement across the end-to-end biosecurity system. Under GIA, Signatories</w:t>
      </w:r>
      <w:r w:rsidR="00191E1B" w:rsidRPr="003F1D6E">
        <w:rPr>
          <w:rFonts w:eastAsia="Times New Roman" w:cs="Arial"/>
          <w:lang w:eastAsia="en-GB"/>
        </w:rPr>
        <w:t xml:space="preserve"> </w:t>
      </w:r>
      <w:r w:rsidR="00AD53A2" w:rsidRPr="003F1D6E">
        <w:rPr>
          <w:rFonts w:eastAsia="Times New Roman" w:cs="Arial"/>
          <w:lang w:eastAsia="en-GB"/>
        </w:rPr>
        <w:t>share in</w:t>
      </w:r>
      <w:r w:rsidR="00191E1B" w:rsidRPr="003F1D6E">
        <w:rPr>
          <w:rFonts w:eastAsia="Times New Roman" w:cs="Arial"/>
          <w:lang w:eastAsia="en-GB"/>
        </w:rPr>
        <w:t xml:space="preserve"> decision making, costs, and responsibility in preparing for and responding to biosecurity incursions.</w:t>
      </w:r>
    </w:p>
    <w:p w:rsidR="00AD53A2" w:rsidRPr="003F1D6E" w:rsidRDefault="00A119EF" w:rsidP="00AD53A2">
      <w:pPr>
        <w:spacing w:after="200" w:line="276" w:lineRule="auto"/>
        <w:rPr>
          <w:rFonts w:eastAsia="Times New Roman" w:cs="Arial"/>
          <w:b/>
          <w:bCs/>
          <w:lang w:eastAsia="en-GB"/>
        </w:rPr>
      </w:pPr>
      <w:r w:rsidRPr="003F1D6E">
        <w:rPr>
          <w:rFonts w:eastAsia="Times New Roman" w:cs="Arial"/>
          <w:lang w:eastAsia="en-GB"/>
        </w:rPr>
        <w:t xml:space="preserve">There are currently nine Signatories to the Deed and a number of other industry groups are in the process of joining. </w:t>
      </w:r>
      <w:r w:rsidR="005C6409" w:rsidRPr="003F1D6E">
        <w:rPr>
          <w:rFonts w:eastAsia="Times New Roman" w:cs="Arial"/>
          <w:lang w:eastAsia="en-GB"/>
        </w:rPr>
        <w:t xml:space="preserve">Current signatories include: </w:t>
      </w:r>
      <w:r w:rsidR="00AD53A2" w:rsidRPr="003F1D6E">
        <w:rPr>
          <w:rFonts w:eastAsia="Times New Roman" w:cs="Arial"/>
          <w:lang w:eastAsia="en-GB"/>
        </w:rPr>
        <w:t>K</w:t>
      </w:r>
      <w:r w:rsidR="00AD53A2" w:rsidRPr="003F1D6E">
        <w:rPr>
          <w:rFonts w:eastAsia="Times New Roman" w:cs="Arial"/>
          <w:bCs/>
          <w:lang w:eastAsia="en-GB"/>
        </w:rPr>
        <w:t>iwifruit Vine Health, Ministry for Primary, Industries, NZ Pork, Pipfruit New Zealand, New Zealand Equine Health Association, Onions New Zealand, NZ Forest Owners Association, New Zealand Avocado Association Incorporated, and New Zealand Citrus Growers' Incorporated.</w:t>
      </w:r>
    </w:p>
    <w:p w:rsidR="00161CA5" w:rsidRPr="003F1D6E" w:rsidRDefault="00215819" w:rsidP="00161CA5">
      <w:pPr>
        <w:spacing w:after="200" w:line="276" w:lineRule="auto"/>
        <w:rPr>
          <w:rFonts w:eastAsia="Times New Roman" w:cs="Arial"/>
          <w:b/>
          <w:lang w:eastAsia="en-GB"/>
        </w:rPr>
      </w:pPr>
      <w:r w:rsidRPr="003F1D6E">
        <w:rPr>
          <w:rFonts w:eastAsia="Times New Roman" w:cs="Arial"/>
          <w:b/>
          <w:lang w:eastAsia="en-GB"/>
        </w:rPr>
        <w:br/>
      </w:r>
      <w:r w:rsidR="00161CA5" w:rsidRPr="003F1D6E">
        <w:rPr>
          <w:rFonts w:eastAsia="Times New Roman" w:cs="Arial"/>
          <w:b/>
          <w:lang w:eastAsia="en-GB"/>
        </w:rPr>
        <w:t>How can I find out more about the project?</w:t>
      </w:r>
    </w:p>
    <w:p w:rsidR="00161CA5" w:rsidRPr="00C02056" w:rsidRDefault="00161CA5" w:rsidP="00161CA5">
      <w:pPr>
        <w:spacing w:after="200" w:line="276" w:lineRule="auto"/>
        <w:rPr>
          <w:rFonts w:eastAsia="Times New Roman" w:cs="Arial"/>
          <w:b/>
          <w:lang w:eastAsia="en-GB"/>
        </w:rPr>
      </w:pPr>
      <w:r w:rsidRPr="003F1D6E">
        <w:rPr>
          <w:rFonts w:eastAsia="Times New Roman" w:cs="Arial"/>
          <w:lang w:eastAsia="en-GB"/>
        </w:rPr>
        <w:t xml:space="preserve">You can find out more about the project on the activities page of GIA website </w:t>
      </w:r>
      <w:hyperlink r:id="rId12" w:history="1">
        <w:r w:rsidRPr="003F1D6E">
          <w:rPr>
            <w:rStyle w:val="Hyperlink"/>
            <w:rFonts w:eastAsia="Times New Roman" w:cs="Arial"/>
            <w:lang w:eastAsia="en-GB"/>
          </w:rPr>
          <w:t>www.gia.org.nz</w:t>
        </w:r>
      </w:hyperlink>
      <w:r w:rsidRPr="003F1D6E">
        <w:rPr>
          <w:rFonts w:eastAsia="Times New Roman" w:cs="Arial"/>
          <w:lang w:eastAsia="en-GB"/>
        </w:rPr>
        <w:t xml:space="preserve"> and in upcoming editions of the GIA newsletter. Industry Signatories to the OA will also have information available on their websites.</w:t>
      </w:r>
    </w:p>
    <w:sectPr w:rsidR="00161CA5" w:rsidRPr="00C02056" w:rsidSect="006543BE">
      <w:headerReference w:type="default"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8A8" w:rsidRDefault="00CB38A8" w:rsidP="00CE2D58">
      <w:pPr>
        <w:spacing w:after="0" w:line="240" w:lineRule="auto"/>
      </w:pPr>
      <w:r>
        <w:separator/>
      </w:r>
    </w:p>
  </w:endnote>
  <w:endnote w:type="continuationSeparator" w:id="0">
    <w:p w:rsidR="00CB38A8" w:rsidRDefault="00CB38A8" w:rsidP="00CE2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42844"/>
      <w:docPartObj>
        <w:docPartGallery w:val="Page Numbers (Bottom of Page)"/>
        <w:docPartUnique/>
      </w:docPartObj>
    </w:sdtPr>
    <w:sdtEndPr>
      <w:rPr>
        <w:noProof/>
      </w:rPr>
    </w:sdtEndPr>
    <w:sdtContent>
      <w:p w:rsidR="00982296" w:rsidRDefault="00982296">
        <w:pPr>
          <w:pStyle w:val="Footer"/>
        </w:pPr>
        <w:r>
          <w:fldChar w:fldCharType="begin"/>
        </w:r>
        <w:r>
          <w:instrText xml:space="preserve"> PAGE   \* MERGEFORMAT </w:instrText>
        </w:r>
        <w:r>
          <w:fldChar w:fldCharType="separate"/>
        </w:r>
        <w:r w:rsidR="002A0F7B">
          <w:rPr>
            <w:noProof/>
          </w:rPr>
          <w:t>3</w:t>
        </w:r>
        <w:r>
          <w:rPr>
            <w:noProof/>
          </w:rPr>
          <w:fldChar w:fldCharType="end"/>
        </w:r>
      </w:p>
    </w:sdtContent>
  </w:sdt>
  <w:p w:rsidR="00982296" w:rsidRPr="007135BB" w:rsidRDefault="00982296" w:rsidP="007169D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8A8" w:rsidRDefault="00CB38A8" w:rsidP="00CE2D58">
      <w:pPr>
        <w:spacing w:after="0" w:line="240" w:lineRule="auto"/>
      </w:pPr>
      <w:r>
        <w:separator/>
      </w:r>
    </w:p>
  </w:footnote>
  <w:footnote w:type="continuationSeparator" w:id="0">
    <w:p w:rsidR="00CB38A8" w:rsidRDefault="00CB38A8" w:rsidP="00CE2D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296" w:rsidRDefault="00982296" w:rsidP="006543BE">
    <w:pPr>
      <w:pStyle w:val="Header"/>
      <w:tabs>
        <w:tab w:val="clear" w:pos="4513"/>
        <w:tab w:val="clear" w:pos="9026"/>
        <w:tab w:val="right" w:pos="5568"/>
      </w:tabs>
    </w:pPr>
    <w:r w:rsidRPr="00CE2D58">
      <w:rPr>
        <w:rFonts w:ascii="Calibri" w:eastAsia="Calibri" w:hAnsi="Calibri" w:cs="Times New Roman"/>
        <w:noProof/>
        <w:lang w:eastAsia="en-NZ"/>
      </w:rPr>
      <w:drawing>
        <wp:anchor distT="0" distB="0" distL="114300" distR="114300" simplePos="0" relativeHeight="251657216" behindDoc="1" locked="0" layoutInCell="1" allowOverlap="1" wp14:anchorId="60F9A594" wp14:editId="6451FA3F">
          <wp:simplePos x="0" y="0"/>
          <wp:positionH relativeFrom="margin">
            <wp:posOffset>3649980</wp:posOffset>
          </wp:positionH>
          <wp:positionV relativeFrom="paragraph">
            <wp:posOffset>-76835</wp:posOffset>
          </wp:positionV>
          <wp:extent cx="2119630" cy="7435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A logo 2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9630" cy="743585"/>
                  </a:xfrm>
                  <a:prstGeom prst="rect">
                    <a:avLst/>
                  </a:prstGeom>
                </pic:spPr>
              </pic:pic>
            </a:graphicData>
          </a:graphic>
          <wp14:sizeRelH relativeFrom="margin">
            <wp14:pctWidth>0</wp14:pctWidth>
          </wp14:sizeRelH>
          <wp14:sizeRelV relativeFrom="margin">
            <wp14:pctHeight>0</wp14:pctHeight>
          </wp14:sizeRelV>
        </wp:anchor>
      </w:drawing>
    </w:r>
    <w:r w:rsidR="006543BE">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3BE" w:rsidRDefault="006543BE" w:rsidP="006543BE">
    <w:pPr>
      <w:pStyle w:val="Header"/>
      <w:tabs>
        <w:tab w:val="clear" w:pos="4513"/>
        <w:tab w:val="clear" w:pos="9026"/>
        <w:tab w:val="left" w:pos="75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C5621"/>
    <w:multiLevelType w:val="hybridMultilevel"/>
    <w:tmpl w:val="D51AD0F8"/>
    <w:lvl w:ilvl="0" w:tplc="1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tabs>
          <w:tab w:val="num" w:pos="1080"/>
        </w:tabs>
        <w:ind w:left="1080" w:hanging="360"/>
      </w:pPr>
      <w:rPr>
        <w:rFonts w:ascii="Courier New" w:hAnsi="Courier New" w:cs="Courier New" w:hint="default"/>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041CC1"/>
    <w:multiLevelType w:val="hybridMultilevel"/>
    <w:tmpl w:val="7E865130"/>
    <w:lvl w:ilvl="0" w:tplc="14090001">
      <w:start w:val="1"/>
      <w:numFmt w:val="bullet"/>
      <w:lvlText w:val=""/>
      <w:lvlJc w:val="left"/>
      <w:pPr>
        <w:tabs>
          <w:tab w:val="num" w:pos="1080"/>
        </w:tabs>
        <w:ind w:left="1080" w:hanging="360"/>
      </w:pPr>
      <w:rPr>
        <w:rFonts w:ascii="Symbol" w:hAnsi="Symbol" w:hint="default"/>
      </w:rPr>
    </w:lvl>
    <w:lvl w:ilvl="1" w:tplc="14090003" w:tentative="1">
      <w:start w:val="1"/>
      <w:numFmt w:val="bullet"/>
      <w:lvlText w:val="o"/>
      <w:lvlJc w:val="left"/>
      <w:pPr>
        <w:tabs>
          <w:tab w:val="num" w:pos="1800"/>
        </w:tabs>
        <w:ind w:left="1800" w:hanging="360"/>
      </w:pPr>
      <w:rPr>
        <w:rFonts w:ascii="Courier New" w:hAnsi="Courier New" w:cs="Courier New" w:hint="default"/>
      </w:rPr>
    </w:lvl>
    <w:lvl w:ilvl="2" w:tplc="14090005" w:tentative="1">
      <w:start w:val="1"/>
      <w:numFmt w:val="bullet"/>
      <w:lvlText w:val=""/>
      <w:lvlJc w:val="left"/>
      <w:pPr>
        <w:tabs>
          <w:tab w:val="num" w:pos="2520"/>
        </w:tabs>
        <w:ind w:left="2520" w:hanging="360"/>
      </w:pPr>
      <w:rPr>
        <w:rFonts w:ascii="Wingdings" w:hAnsi="Wingdings" w:hint="default"/>
      </w:rPr>
    </w:lvl>
    <w:lvl w:ilvl="3" w:tplc="14090001" w:tentative="1">
      <w:start w:val="1"/>
      <w:numFmt w:val="bullet"/>
      <w:lvlText w:val=""/>
      <w:lvlJc w:val="left"/>
      <w:pPr>
        <w:tabs>
          <w:tab w:val="num" w:pos="3240"/>
        </w:tabs>
        <w:ind w:left="3240" w:hanging="360"/>
      </w:pPr>
      <w:rPr>
        <w:rFonts w:ascii="Symbol" w:hAnsi="Symbol" w:hint="default"/>
      </w:rPr>
    </w:lvl>
    <w:lvl w:ilvl="4" w:tplc="14090003" w:tentative="1">
      <w:start w:val="1"/>
      <w:numFmt w:val="bullet"/>
      <w:lvlText w:val="o"/>
      <w:lvlJc w:val="left"/>
      <w:pPr>
        <w:tabs>
          <w:tab w:val="num" w:pos="3960"/>
        </w:tabs>
        <w:ind w:left="3960" w:hanging="360"/>
      </w:pPr>
      <w:rPr>
        <w:rFonts w:ascii="Courier New" w:hAnsi="Courier New" w:cs="Courier New" w:hint="default"/>
      </w:rPr>
    </w:lvl>
    <w:lvl w:ilvl="5" w:tplc="14090005" w:tentative="1">
      <w:start w:val="1"/>
      <w:numFmt w:val="bullet"/>
      <w:lvlText w:val=""/>
      <w:lvlJc w:val="left"/>
      <w:pPr>
        <w:tabs>
          <w:tab w:val="num" w:pos="4680"/>
        </w:tabs>
        <w:ind w:left="4680" w:hanging="360"/>
      </w:pPr>
      <w:rPr>
        <w:rFonts w:ascii="Wingdings" w:hAnsi="Wingdings" w:hint="default"/>
      </w:rPr>
    </w:lvl>
    <w:lvl w:ilvl="6" w:tplc="14090001" w:tentative="1">
      <w:start w:val="1"/>
      <w:numFmt w:val="bullet"/>
      <w:lvlText w:val=""/>
      <w:lvlJc w:val="left"/>
      <w:pPr>
        <w:tabs>
          <w:tab w:val="num" w:pos="5400"/>
        </w:tabs>
        <w:ind w:left="5400" w:hanging="360"/>
      </w:pPr>
      <w:rPr>
        <w:rFonts w:ascii="Symbol" w:hAnsi="Symbol" w:hint="default"/>
      </w:rPr>
    </w:lvl>
    <w:lvl w:ilvl="7" w:tplc="14090003" w:tentative="1">
      <w:start w:val="1"/>
      <w:numFmt w:val="bullet"/>
      <w:lvlText w:val="o"/>
      <w:lvlJc w:val="left"/>
      <w:pPr>
        <w:tabs>
          <w:tab w:val="num" w:pos="6120"/>
        </w:tabs>
        <w:ind w:left="6120" w:hanging="360"/>
      </w:pPr>
      <w:rPr>
        <w:rFonts w:ascii="Courier New" w:hAnsi="Courier New" w:cs="Courier New" w:hint="default"/>
      </w:rPr>
    </w:lvl>
    <w:lvl w:ilvl="8" w:tplc="1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3DE6A17"/>
    <w:multiLevelType w:val="multilevel"/>
    <w:tmpl w:val="14090025"/>
    <w:lvl w:ilvl="0">
      <w:start w:val="1"/>
      <w:numFmt w:val="decimal"/>
      <w:pStyle w:val="Heading1"/>
      <w:lvlText w:val="%1"/>
      <w:lvlJc w:val="left"/>
      <w:pPr>
        <w:ind w:left="432" w:hanging="432"/>
      </w:pPr>
    </w:lvl>
    <w:lvl w:ilvl="1">
      <w:start w:val="1"/>
      <w:numFmt w:val="decimal"/>
      <w:pStyle w:val="Heading2"/>
      <w:lvlText w:val="%1.%2"/>
      <w:lvlJc w:val="left"/>
      <w:pPr>
        <w:ind w:left="1286" w:hanging="576"/>
      </w:pPr>
    </w:lvl>
    <w:lvl w:ilvl="2">
      <w:start w:val="1"/>
      <w:numFmt w:val="decimal"/>
      <w:pStyle w:val="Heading3"/>
      <w:lvlText w:val="%1.%2.%3"/>
      <w:lvlJc w:val="left"/>
      <w:pPr>
        <w:ind w:left="313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4827789"/>
    <w:multiLevelType w:val="hybridMultilevel"/>
    <w:tmpl w:val="9EC44346"/>
    <w:lvl w:ilvl="0" w:tplc="0CDA5CF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A121C2"/>
    <w:multiLevelType w:val="hybridMultilevel"/>
    <w:tmpl w:val="AC4203F2"/>
    <w:lvl w:ilvl="0" w:tplc="14090001">
      <w:start w:val="1"/>
      <w:numFmt w:val="bullet"/>
      <w:lvlText w:val=""/>
      <w:lvlJc w:val="left"/>
      <w:pPr>
        <w:tabs>
          <w:tab w:val="num" w:pos="1080"/>
        </w:tabs>
        <w:ind w:left="1080" w:hanging="360"/>
      </w:pPr>
      <w:rPr>
        <w:rFonts w:ascii="Symbol" w:hAnsi="Symbol" w:hint="default"/>
      </w:rPr>
    </w:lvl>
    <w:lvl w:ilvl="1" w:tplc="14090003" w:tentative="1">
      <w:start w:val="1"/>
      <w:numFmt w:val="bullet"/>
      <w:lvlText w:val="o"/>
      <w:lvlJc w:val="left"/>
      <w:pPr>
        <w:tabs>
          <w:tab w:val="num" w:pos="1800"/>
        </w:tabs>
        <w:ind w:left="1800" w:hanging="360"/>
      </w:pPr>
      <w:rPr>
        <w:rFonts w:ascii="Courier New" w:hAnsi="Courier New" w:cs="Courier New" w:hint="default"/>
      </w:rPr>
    </w:lvl>
    <w:lvl w:ilvl="2" w:tplc="14090005" w:tentative="1">
      <w:start w:val="1"/>
      <w:numFmt w:val="bullet"/>
      <w:lvlText w:val=""/>
      <w:lvlJc w:val="left"/>
      <w:pPr>
        <w:tabs>
          <w:tab w:val="num" w:pos="2520"/>
        </w:tabs>
        <w:ind w:left="2520" w:hanging="360"/>
      </w:pPr>
      <w:rPr>
        <w:rFonts w:ascii="Wingdings" w:hAnsi="Wingdings" w:hint="default"/>
      </w:rPr>
    </w:lvl>
    <w:lvl w:ilvl="3" w:tplc="14090001" w:tentative="1">
      <w:start w:val="1"/>
      <w:numFmt w:val="bullet"/>
      <w:lvlText w:val=""/>
      <w:lvlJc w:val="left"/>
      <w:pPr>
        <w:tabs>
          <w:tab w:val="num" w:pos="3240"/>
        </w:tabs>
        <w:ind w:left="3240" w:hanging="360"/>
      </w:pPr>
      <w:rPr>
        <w:rFonts w:ascii="Symbol" w:hAnsi="Symbol" w:hint="default"/>
      </w:rPr>
    </w:lvl>
    <w:lvl w:ilvl="4" w:tplc="14090003" w:tentative="1">
      <w:start w:val="1"/>
      <w:numFmt w:val="bullet"/>
      <w:lvlText w:val="o"/>
      <w:lvlJc w:val="left"/>
      <w:pPr>
        <w:tabs>
          <w:tab w:val="num" w:pos="3960"/>
        </w:tabs>
        <w:ind w:left="3960" w:hanging="360"/>
      </w:pPr>
      <w:rPr>
        <w:rFonts w:ascii="Courier New" w:hAnsi="Courier New" w:cs="Courier New" w:hint="default"/>
      </w:rPr>
    </w:lvl>
    <w:lvl w:ilvl="5" w:tplc="14090005" w:tentative="1">
      <w:start w:val="1"/>
      <w:numFmt w:val="bullet"/>
      <w:lvlText w:val=""/>
      <w:lvlJc w:val="left"/>
      <w:pPr>
        <w:tabs>
          <w:tab w:val="num" w:pos="4680"/>
        </w:tabs>
        <w:ind w:left="4680" w:hanging="360"/>
      </w:pPr>
      <w:rPr>
        <w:rFonts w:ascii="Wingdings" w:hAnsi="Wingdings" w:hint="default"/>
      </w:rPr>
    </w:lvl>
    <w:lvl w:ilvl="6" w:tplc="14090001" w:tentative="1">
      <w:start w:val="1"/>
      <w:numFmt w:val="bullet"/>
      <w:lvlText w:val=""/>
      <w:lvlJc w:val="left"/>
      <w:pPr>
        <w:tabs>
          <w:tab w:val="num" w:pos="5400"/>
        </w:tabs>
        <w:ind w:left="5400" w:hanging="360"/>
      </w:pPr>
      <w:rPr>
        <w:rFonts w:ascii="Symbol" w:hAnsi="Symbol" w:hint="default"/>
      </w:rPr>
    </w:lvl>
    <w:lvl w:ilvl="7" w:tplc="14090003" w:tentative="1">
      <w:start w:val="1"/>
      <w:numFmt w:val="bullet"/>
      <w:lvlText w:val="o"/>
      <w:lvlJc w:val="left"/>
      <w:pPr>
        <w:tabs>
          <w:tab w:val="num" w:pos="6120"/>
        </w:tabs>
        <w:ind w:left="6120" w:hanging="360"/>
      </w:pPr>
      <w:rPr>
        <w:rFonts w:ascii="Courier New" w:hAnsi="Courier New" w:cs="Courier New" w:hint="default"/>
      </w:rPr>
    </w:lvl>
    <w:lvl w:ilvl="8" w:tplc="1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6740913"/>
    <w:multiLevelType w:val="hybridMultilevel"/>
    <w:tmpl w:val="7E86386A"/>
    <w:lvl w:ilvl="0" w:tplc="0CDA5CF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BD52D9"/>
    <w:multiLevelType w:val="hybridMultilevel"/>
    <w:tmpl w:val="336405DC"/>
    <w:lvl w:ilvl="0" w:tplc="0CDA5CF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F9D7A00"/>
    <w:multiLevelType w:val="hybridMultilevel"/>
    <w:tmpl w:val="28E8C78C"/>
    <w:lvl w:ilvl="0" w:tplc="14090001">
      <w:start w:val="1"/>
      <w:numFmt w:val="bullet"/>
      <w:lvlText w:val=""/>
      <w:lvlJc w:val="left"/>
      <w:pPr>
        <w:tabs>
          <w:tab w:val="num" w:pos="1080"/>
        </w:tabs>
        <w:ind w:left="1080" w:hanging="360"/>
      </w:pPr>
      <w:rPr>
        <w:rFonts w:ascii="Symbol" w:hAnsi="Symbol" w:hint="default"/>
      </w:rPr>
    </w:lvl>
    <w:lvl w:ilvl="1" w:tplc="14090003" w:tentative="1">
      <w:start w:val="1"/>
      <w:numFmt w:val="bullet"/>
      <w:lvlText w:val="o"/>
      <w:lvlJc w:val="left"/>
      <w:pPr>
        <w:tabs>
          <w:tab w:val="num" w:pos="1800"/>
        </w:tabs>
        <w:ind w:left="1800" w:hanging="360"/>
      </w:pPr>
      <w:rPr>
        <w:rFonts w:ascii="Courier New" w:hAnsi="Courier New" w:cs="Courier New" w:hint="default"/>
      </w:rPr>
    </w:lvl>
    <w:lvl w:ilvl="2" w:tplc="14090005" w:tentative="1">
      <w:start w:val="1"/>
      <w:numFmt w:val="bullet"/>
      <w:lvlText w:val=""/>
      <w:lvlJc w:val="left"/>
      <w:pPr>
        <w:tabs>
          <w:tab w:val="num" w:pos="2520"/>
        </w:tabs>
        <w:ind w:left="2520" w:hanging="360"/>
      </w:pPr>
      <w:rPr>
        <w:rFonts w:ascii="Wingdings" w:hAnsi="Wingdings" w:hint="default"/>
      </w:rPr>
    </w:lvl>
    <w:lvl w:ilvl="3" w:tplc="14090001" w:tentative="1">
      <w:start w:val="1"/>
      <w:numFmt w:val="bullet"/>
      <w:lvlText w:val=""/>
      <w:lvlJc w:val="left"/>
      <w:pPr>
        <w:tabs>
          <w:tab w:val="num" w:pos="3240"/>
        </w:tabs>
        <w:ind w:left="3240" w:hanging="360"/>
      </w:pPr>
      <w:rPr>
        <w:rFonts w:ascii="Symbol" w:hAnsi="Symbol" w:hint="default"/>
      </w:rPr>
    </w:lvl>
    <w:lvl w:ilvl="4" w:tplc="14090003" w:tentative="1">
      <w:start w:val="1"/>
      <w:numFmt w:val="bullet"/>
      <w:lvlText w:val="o"/>
      <w:lvlJc w:val="left"/>
      <w:pPr>
        <w:tabs>
          <w:tab w:val="num" w:pos="3960"/>
        </w:tabs>
        <w:ind w:left="3960" w:hanging="360"/>
      </w:pPr>
      <w:rPr>
        <w:rFonts w:ascii="Courier New" w:hAnsi="Courier New" w:cs="Courier New" w:hint="default"/>
      </w:rPr>
    </w:lvl>
    <w:lvl w:ilvl="5" w:tplc="14090005" w:tentative="1">
      <w:start w:val="1"/>
      <w:numFmt w:val="bullet"/>
      <w:lvlText w:val=""/>
      <w:lvlJc w:val="left"/>
      <w:pPr>
        <w:tabs>
          <w:tab w:val="num" w:pos="4680"/>
        </w:tabs>
        <w:ind w:left="4680" w:hanging="360"/>
      </w:pPr>
      <w:rPr>
        <w:rFonts w:ascii="Wingdings" w:hAnsi="Wingdings" w:hint="default"/>
      </w:rPr>
    </w:lvl>
    <w:lvl w:ilvl="6" w:tplc="14090001" w:tentative="1">
      <w:start w:val="1"/>
      <w:numFmt w:val="bullet"/>
      <w:lvlText w:val=""/>
      <w:lvlJc w:val="left"/>
      <w:pPr>
        <w:tabs>
          <w:tab w:val="num" w:pos="5400"/>
        </w:tabs>
        <w:ind w:left="5400" w:hanging="360"/>
      </w:pPr>
      <w:rPr>
        <w:rFonts w:ascii="Symbol" w:hAnsi="Symbol" w:hint="default"/>
      </w:rPr>
    </w:lvl>
    <w:lvl w:ilvl="7" w:tplc="14090003" w:tentative="1">
      <w:start w:val="1"/>
      <w:numFmt w:val="bullet"/>
      <w:lvlText w:val="o"/>
      <w:lvlJc w:val="left"/>
      <w:pPr>
        <w:tabs>
          <w:tab w:val="num" w:pos="6120"/>
        </w:tabs>
        <w:ind w:left="6120" w:hanging="360"/>
      </w:pPr>
      <w:rPr>
        <w:rFonts w:ascii="Courier New" w:hAnsi="Courier New" w:cs="Courier New" w:hint="default"/>
      </w:rPr>
    </w:lvl>
    <w:lvl w:ilvl="8" w:tplc="1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0674E23"/>
    <w:multiLevelType w:val="hybridMultilevel"/>
    <w:tmpl w:val="CC8A7B5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23552927"/>
    <w:multiLevelType w:val="hybridMultilevel"/>
    <w:tmpl w:val="F65E2B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46D197D"/>
    <w:multiLevelType w:val="hybridMultilevel"/>
    <w:tmpl w:val="F196A3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5CE77B9"/>
    <w:multiLevelType w:val="hybridMultilevel"/>
    <w:tmpl w:val="94E0E7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7256538"/>
    <w:multiLevelType w:val="hybridMultilevel"/>
    <w:tmpl w:val="53AC86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8BA184A"/>
    <w:multiLevelType w:val="hybridMultilevel"/>
    <w:tmpl w:val="FC9487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D2B7B76"/>
    <w:multiLevelType w:val="hybridMultilevel"/>
    <w:tmpl w:val="19C4BB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D3D383C"/>
    <w:multiLevelType w:val="hybridMultilevel"/>
    <w:tmpl w:val="4BFA39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EF11A0B"/>
    <w:multiLevelType w:val="multilevel"/>
    <w:tmpl w:val="9C42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FC7437"/>
    <w:multiLevelType w:val="hybridMultilevel"/>
    <w:tmpl w:val="53A07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30A381C"/>
    <w:multiLevelType w:val="hybridMultilevel"/>
    <w:tmpl w:val="6C60FE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C4A31FC"/>
    <w:multiLevelType w:val="hybridMultilevel"/>
    <w:tmpl w:val="A64E7C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E6D2200"/>
    <w:multiLevelType w:val="hybridMultilevel"/>
    <w:tmpl w:val="3D1E2C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0CD2ACC"/>
    <w:multiLevelType w:val="hybridMultilevel"/>
    <w:tmpl w:val="40FE9DC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2" w15:restartNumberingAfterBreak="0">
    <w:nsid w:val="42840795"/>
    <w:multiLevelType w:val="hybridMultilevel"/>
    <w:tmpl w:val="271A93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FA6580"/>
    <w:multiLevelType w:val="hybridMultilevel"/>
    <w:tmpl w:val="B074FA48"/>
    <w:lvl w:ilvl="0" w:tplc="14090001">
      <w:start w:val="1"/>
      <w:numFmt w:val="bullet"/>
      <w:lvlText w:val=""/>
      <w:lvlJc w:val="left"/>
      <w:pPr>
        <w:tabs>
          <w:tab w:val="num" w:pos="720"/>
        </w:tabs>
        <w:ind w:left="720" w:hanging="36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4C2BBA"/>
    <w:multiLevelType w:val="hybridMultilevel"/>
    <w:tmpl w:val="5B86BD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BF3675F"/>
    <w:multiLevelType w:val="hybridMultilevel"/>
    <w:tmpl w:val="D98E9A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E0F5C45"/>
    <w:multiLevelType w:val="hybridMultilevel"/>
    <w:tmpl w:val="30C43EE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1543BFF"/>
    <w:multiLevelType w:val="hybridMultilevel"/>
    <w:tmpl w:val="B9407B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533E3E49"/>
    <w:multiLevelType w:val="hybridMultilevel"/>
    <w:tmpl w:val="5A5AA2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4FE6F12"/>
    <w:multiLevelType w:val="hybridMultilevel"/>
    <w:tmpl w:val="9230C0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8B31AB1"/>
    <w:multiLevelType w:val="hybridMultilevel"/>
    <w:tmpl w:val="851CFA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91F3A40"/>
    <w:multiLevelType w:val="hybridMultilevel"/>
    <w:tmpl w:val="DC9876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95C7687"/>
    <w:multiLevelType w:val="hybridMultilevel"/>
    <w:tmpl w:val="B0A686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BDE1C8F"/>
    <w:multiLevelType w:val="hybridMultilevel"/>
    <w:tmpl w:val="873EED0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4" w15:restartNumberingAfterBreak="0">
    <w:nsid w:val="5D5007A1"/>
    <w:multiLevelType w:val="hybridMultilevel"/>
    <w:tmpl w:val="995029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6134474"/>
    <w:multiLevelType w:val="hybridMultilevel"/>
    <w:tmpl w:val="98765A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980299B"/>
    <w:multiLevelType w:val="hybridMultilevel"/>
    <w:tmpl w:val="D71011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BB12C33"/>
    <w:multiLevelType w:val="hybridMultilevel"/>
    <w:tmpl w:val="C636A8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E254AEC"/>
    <w:multiLevelType w:val="hybridMultilevel"/>
    <w:tmpl w:val="16C4A5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6E3369C2"/>
    <w:multiLevelType w:val="hybridMultilevel"/>
    <w:tmpl w:val="FC0043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FDF11AF"/>
    <w:multiLevelType w:val="hybridMultilevel"/>
    <w:tmpl w:val="9328DEC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755B68E1"/>
    <w:multiLevelType w:val="hybridMultilevel"/>
    <w:tmpl w:val="A210CA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2" w15:restartNumberingAfterBreak="0">
    <w:nsid w:val="7BBC3743"/>
    <w:multiLevelType w:val="hybridMultilevel"/>
    <w:tmpl w:val="AE4C2A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32"/>
  </w:num>
  <w:num w:numId="4">
    <w:abstractNumId w:val="3"/>
  </w:num>
  <w:num w:numId="5">
    <w:abstractNumId w:val="6"/>
  </w:num>
  <w:num w:numId="6">
    <w:abstractNumId w:val="5"/>
  </w:num>
  <w:num w:numId="7">
    <w:abstractNumId w:val="22"/>
  </w:num>
  <w:num w:numId="8">
    <w:abstractNumId w:val="37"/>
  </w:num>
  <w:num w:numId="9">
    <w:abstractNumId w:val="36"/>
  </w:num>
  <w:num w:numId="10">
    <w:abstractNumId w:val="13"/>
  </w:num>
  <w:num w:numId="11">
    <w:abstractNumId w:val="26"/>
  </w:num>
  <w:num w:numId="12">
    <w:abstractNumId w:val="25"/>
  </w:num>
  <w:num w:numId="13">
    <w:abstractNumId w:val="28"/>
  </w:num>
  <w:num w:numId="14">
    <w:abstractNumId w:val="31"/>
  </w:num>
  <w:num w:numId="15">
    <w:abstractNumId w:val="16"/>
  </w:num>
  <w:num w:numId="16">
    <w:abstractNumId w:val="12"/>
  </w:num>
  <w:num w:numId="17">
    <w:abstractNumId w:val="24"/>
  </w:num>
  <w:num w:numId="18">
    <w:abstractNumId w:val="14"/>
  </w:num>
  <w:num w:numId="19">
    <w:abstractNumId w:val="21"/>
  </w:num>
  <w:num w:numId="20">
    <w:abstractNumId w:val="11"/>
  </w:num>
  <w:num w:numId="21">
    <w:abstractNumId w:val="9"/>
  </w:num>
  <w:num w:numId="22">
    <w:abstractNumId w:val="41"/>
  </w:num>
  <w:num w:numId="23">
    <w:abstractNumId w:val="28"/>
  </w:num>
  <w:num w:numId="24">
    <w:abstractNumId w:val="33"/>
  </w:num>
  <w:num w:numId="25">
    <w:abstractNumId w:val="8"/>
  </w:num>
  <w:num w:numId="26">
    <w:abstractNumId w:val="31"/>
  </w:num>
  <w:num w:numId="27">
    <w:abstractNumId w:val="10"/>
  </w:num>
  <w:num w:numId="28">
    <w:abstractNumId w:val="18"/>
  </w:num>
  <w:num w:numId="29">
    <w:abstractNumId w:val="42"/>
  </w:num>
  <w:num w:numId="30">
    <w:abstractNumId w:val="19"/>
  </w:num>
  <w:num w:numId="31">
    <w:abstractNumId w:val="35"/>
  </w:num>
  <w:num w:numId="32">
    <w:abstractNumId w:val="2"/>
  </w:num>
  <w:num w:numId="33">
    <w:abstractNumId w:val="40"/>
  </w:num>
  <w:num w:numId="34">
    <w:abstractNumId w:val="38"/>
  </w:num>
  <w:num w:numId="35">
    <w:abstractNumId w:val="29"/>
  </w:num>
  <w:num w:numId="36">
    <w:abstractNumId w:val="30"/>
  </w:num>
  <w:num w:numId="37">
    <w:abstractNumId w:val="27"/>
  </w:num>
  <w:num w:numId="38">
    <w:abstractNumId w:val="39"/>
  </w:num>
  <w:num w:numId="39">
    <w:abstractNumId w:val="15"/>
  </w:num>
  <w:num w:numId="40">
    <w:abstractNumId w:val="4"/>
  </w:num>
  <w:num w:numId="41">
    <w:abstractNumId w:val="7"/>
  </w:num>
  <w:num w:numId="42">
    <w:abstractNumId w:val="23"/>
  </w:num>
  <w:num w:numId="43">
    <w:abstractNumId w:val="0"/>
  </w:num>
  <w:num w:numId="44">
    <w:abstractNumId w:val="1"/>
  </w:num>
  <w:num w:numId="45">
    <w:abstractNumId w:val="34"/>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EC"/>
    <w:rsid w:val="000028FF"/>
    <w:rsid w:val="000158CB"/>
    <w:rsid w:val="00036E47"/>
    <w:rsid w:val="00056855"/>
    <w:rsid w:val="00060FC2"/>
    <w:rsid w:val="000722FF"/>
    <w:rsid w:val="0009435A"/>
    <w:rsid w:val="000A46B3"/>
    <w:rsid w:val="000B6395"/>
    <w:rsid w:val="000C4263"/>
    <w:rsid w:val="000E5AF6"/>
    <w:rsid w:val="000F224D"/>
    <w:rsid w:val="000F301A"/>
    <w:rsid w:val="000F52C0"/>
    <w:rsid w:val="00100C3C"/>
    <w:rsid w:val="00103B35"/>
    <w:rsid w:val="001145E3"/>
    <w:rsid w:val="00131BC5"/>
    <w:rsid w:val="0014339C"/>
    <w:rsid w:val="00161CA5"/>
    <w:rsid w:val="0016343C"/>
    <w:rsid w:val="00173F5C"/>
    <w:rsid w:val="00191E1B"/>
    <w:rsid w:val="00195AE2"/>
    <w:rsid w:val="001A1D62"/>
    <w:rsid w:val="001B11B9"/>
    <w:rsid w:val="001B3F70"/>
    <w:rsid w:val="001C0930"/>
    <w:rsid w:val="001C71D3"/>
    <w:rsid w:val="001E0AAE"/>
    <w:rsid w:val="00215819"/>
    <w:rsid w:val="00216AC5"/>
    <w:rsid w:val="002327CC"/>
    <w:rsid w:val="00266FB3"/>
    <w:rsid w:val="002825AE"/>
    <w:rsid w:val="002A0F7B"/>
    <w:rsid w:val="002C0A3E"/>
    <w:rsid w:val="002D0B08"/>
    <w:rsid w:val="002E0E0D"/>
    <w:rsid w:val="002F2A69"/>
    <w:rsid w:val="002F7B10"/>
    <w:rsid w:val="003110ED"/>
    <w:rsid w:val="00320302"/>
    <w:rsid w:val="00326697"/>
    <w:rsid w:val="003520B1"/>
    <w:rsid w:val="003537A2"/>
    <w:rsid w:val="00356318"/>
    <w:rsid w:val="00360A4E"/>
    <w:rsid w:val="00361E8F"/>
    <w:rsid w:val="00377F4E"/>
    <w:rsid w:val="0038121F"/>
    <w:rsid w:val="00381C38"/>
    <w:rsid w:val="003912FF"/>
    <w:rsid w:val="0039720E"/>
    <w:rsid w:val="003B1001"/>
    <w:rsid w:val="003B5F83"/>
    <w:rsid w:val="003E2189"/>
    <w:rsid w:val="003E6DE4"/>
    <w:rsid w:val="003E7A43"/>
    <w:rsid w:val="003F15D9"/>
    <w:rsid w:val="003F1D6E"/>
    <w:rsid w:val="004002F7"/>
    <w:rsid w:val="0042293A"/>
    <w:rsid w:val="00430FD6"/>
    <w:rsid w:val="00434865"/>
    <w:rsid w:val="004421D2"/>
    <w:rsid w:val="00450167"/>
    <w:rsid w:val="00452DF9"/>
    <w:rsid w:val="004611B2"/>
    <w:rsid w:val="004650DA"/>
    <w:rsid w:val="00485471"/>
    <w:rsid w:val="0049169B"/>
    <w:rsid w:val="004B2F4B"/>
    <w:rsid w:val="004C5FCA"/>
    <w:rsid w:val="004C7769"/>
    <w:rsid w:val="004D170B"/>
    <w:rsid w:val="004E4B28"/>
    <w:rsid w:val="004E7E89"/>
    <w:rsid w:val="004F08E2"/>
    <w:rsid w:val="00537B18"/>
    <w:rsid w:val="005448FC"/>
    <w:rsid w:val="00556063"/>
    <w:rsid w:val="00576373"/>
    <w:rsid w:val="00597AF9"/>
    <w:rsid w:val="00597C3D"/>
    <w:rsid w:val="005B0404"/>
    <w:rsid w:val="005B056A"/>
    <w:rsid w:val="005C33B1"/>
    <w:rsid w:val="005C6409"/>
    <w:rsid w:val="005F00C7"/>
    <w:rsid w:val="005F1A39"/>
    <w:rsid w:val="006063AD"/>
    <w:rsid w:val="00615997"/>
    <w:rsid w:val="00642581"/>
    <w:rsid w:val="0065090C"/>
    <w:rsid w:val="006543BE"/>
    <w:rsid w:val="0068161D"/>
    <w:rsid w:val="006A69D8"/>
    <w:rsid w:val="006B18E8"/>
    <w:rsid w:val="006C4A9B"/>
    <w:rsid w:val="006D25B8"/>
    <w:rsid w:val="006E20AD"/>
    <w:rsid w:val="006E7FA5"/>
    <w:rsid w:val="006F4641"/>
    <w:rsid w:val="006F58D1"/>
    <w:rsid w:val="007135BB"/>
    <w:rsid w:val="007169D3"/>
    <w:rsid w:val="0073146B"/>
    <w:rsid w:val="0074371F"/>
    <w:rsid w:val="0074649C"/>
    <w:rsid w:val="0075224D"/>
    <w:rsid w:val="007759EC"/>
    <w:rsid w:val="007779D5"/>
    <w:rsid w:val="00785235"/>
    <w:rsid w:val="00786579"/>
    <w:rsid w:val="007A201F"/>
    <w:rsid w:val="007B1FCC"/>
    <w:rsid w:val="007C3068"/>
    <w:rsid w:val="007C47D3"/>
    <w:rsid w:val="007E70F2"/>
    <w:rsid w:val="007F31CB"/>
    <w:rsid w:val="0080067F"/>
    <w:rsid w:val="00802CD2"/>
    <w:rsid w:val="008077BC"/>
    <w:rsid w:val="00815E06"/>
    <w:rsid w:val="00831091"/>
    <w:rsid w:val="008643CE"/>
    <w:rsid w:val="00884603"/>
    <w:rsid w:val="00884F18"/>
    <w:rsid w:val="00896D36"/>
    <w:rsid w:val="008A7895"/>
    <w:rsid w:val="008F380F"/>
    <w:rsid w:val="0090552D"/>
    <w:rsid w:val="00912E1E"/>
    <w:rsid w:val="0091424B"/>
    <w:rsid w:val="009323BC"/>
    <w:rsid w:val="00945571"/>
    <w:rsid w:val="00953DB0"/>
    <w:rsid w:val="0095642A"/>
    <w:rsid w:val="00982296"/>
    <w:rsid w:val="009A3AE3"/>
    <w:rsid w:val="009A6BAB"/>
    <w:rsid w:val="009B3E02"/>
    <w:rsid w:val="009B3E4E"/>
    <w:rsid w:val="009B6765"/>
    <w:rsid w:val="009B6BDA"/>
    <w:rsid w:val="009D2B76"/>
    <w:rsid w:val="009D4D35"/>
    <w:rsid w:val="009F2DDD"/>
    <w:rsid w:val="009F4D84"/>
    <w:rsid w:val="00A119EF"/>
    <w:rsid w:val="00A24227"/>
    <w:rsid w:val="00A27F1A"/>
    <w:rsid w:val="00A36ACD"/>
    <w:rsid w:val="00A46BBE"/>
    <w:rsid w:val="00A55EAE"/>
    <w:rsid w:val="00A63EC9"/>
    <w:rsid w:val="00A73161"/>
    <w:rsid w:val="00A8676F"/>
    <w:rsid w:val="00A86DCF"/>
    <w:rsid w:val="00A86EF1"/>
    <w:rsid w:val="00A91EEF"/>
    <w:rsid w:val="00AB07CB"/>
    <w:rsid w:val="00AC13F8"/>
    <w:rsid w:val="00AD0044"/>
    <w:rsid w:val="00AD53A2"/>
    <w:rsid w:val="00AE2A3E"/>
    <w:rsid w:val="00AF4E33"/>
    <w:rsid w:val="00B00BAA"/>
    <w:rsid w:val="00B13462"/>
    <w:rsid w:val="00B20463"/>
    <w:rsid w:val="00B252B9"/>
    <w:rsid w:val="00B26B8E"/>
    <w:rsid w:val="00B6130B"/>
    <w:rsid w:val="00B63566"/>
    <w:rsid w:val="00B70125"/>
    <w:rsid w:val="00B71328"/>
    <w:rsid w:val="00B8137B"/>
    <w:rsid w:val="00B82CD0"/>
    <w:rsid w:val="00B92174"/>
    <w:rsid w:val="00B93E1A"/>
    <w:rsid w:val="00BA6D15"/>
    <w:rsid w:val="00BB7D4B"/>
    <w:rsid w:val="00BD0793"/>
    <w:rsid w:val="00BD3E47"/>
    <w:rsid w:val="00BD41C6"/>
    <w:rsid w:val="00BE063D"/>
    <w:rsid w:val="00BE228D"/>
    <w:rsid w:val="00BF3599"/>
    <w:rsid w:val="00C02056"/>
    <w:rsid w:val="00C21D4D"/>
    <w:rsid w:val="00C27636"/>
    <w:rsid w:val="00C32E5B"/>
    <w:rsid w:val="00C475F2"/>
    <w:rsid w:val="00C50C8B"/>
    <w:rsid w:val="00C55BED"/>
    <w:rsid w:val="00C73BC6"/>
    <w:rsid w:val="00C920A2"/>
    <w:rsid w:val="00C961BF"/>
    <w:rsid w:val="00CA1738"/>
    <w:rsid w:val="00CA4DE6"/>
    <w:rsid w:val="00CA7BC3"/>
    <w:rsid w:val="00CB38A8"/>
    <w:rsid w:val="00CC359B"/>
    <w:rsid w:val="00CC57E2"/>
    <w:rsid w:val="00CC5E11"/>
    <w:rsid w:val="00CD3D29"/>
    <w:rsid w:val="00CD6B7D"/>
    <w:rsid w:val="00CE2D58"/>
    <w:rsid w:val="00CE7F55"/>
    <w:rsid w:val="00CF0367"/>
    <w:rsid w:val="00D15F89"/>
    <w:rsid w:val="00D2109B"/>
    <w:rsid w:val="00D25592"/>
    <w:rsid w:val="00D52CE8"/>
    <w:rsid w:val="00D550AA"/>
    <w:rsid w:val="00D60B66"/>
    <w:rsid w:val="00D708B2"/>
    <w:rsid w:val="00D76FA2"/>
    <w:rsid w:val="00D8455B"/>
    <w:rsid w:val="00D93B59"/>
    <w:rsid w:val="00DB0E20"/>
    <w:rsid w:val="00DB35FB"/>
    <w:rsid w:val="00DC08A1"/>
    <w:rsid w:val="00DC1965"/>
    <w:rsid w:val="00DD7B96"/>
    <w:rsid w:val="00DE5AC5"/>
    <w:rsid w:val="00E14BEB"/>
    <w:rsid w:val="00E3449D"/>
    <w:rsid w:val="00E44D8C"/>
    <w:rsid w:val="00E630EE"/>
    <w:rsid w:val="00E6316D"/>
    <w:rsid w:val="00E67365"/>
    <w:rsid w:val="00E67B59"/>
    <w:rsid w:val="00E80915"/>
    <w:rsid w:val="00E94D70"/>
    <w:rsid w:val="00EA6D4B"/>
    <w:rsid w:val="00EC648D"/>
    <w:rsid w:val="00EC7D0A"/>
    <w:rsid w:val="00ED6A9A"/>
    <w:rsid w:val="00EF0BE9"/>
    <w:rsid w:val="00EF5FC0"/>
    <w:rsid w:val="00F113DD"/>
    <w:rsid w:val="00F20CB7"/>
    <w:rsid w:val="00F32744"/>
    <w:rsid w:val="00F35131"/>
    <w:rsid w:val="00F37CD2"/>
    <w:rsid w:val="00F61BEE"/>
    <w:rsid w:val="00F67DF4"/>
    <w:rsid w:val="00F76F84"/>
    <w:rsid w:val="00F924A9"/>
    <w:rsid w:val="00F941F3"/>
    <w:rsid w:val="00FA2E44"/>
    <w:rsid w:val="00FC39EC"/>
    <w:rsid w:val="00FC40A6"/>
    <w:rsid w:val="00FC52B6"/>
    <w:rsid w:val="00FD19E1"/>
    <w:rsid w:val="00FE68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E1431D3-4363-4AA4-96CD-890B2D7D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73F5C"/>
    <w:pPr>
      <w:keepNext/>
      <w:keepLines/>
      <w:numPr>
        <w:numId w:val="32"/>
      </w:numPr>
      <w:spacing w:before="48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qFormat/>
    <w:rsid w:val="00173F5C"/>
    <w:pPr>
      <w:keepNext/>
      <w:numPr>
        <w:ilvl w:val="1"/>
        <w:numId w:val="32"/>
      </w:numPr>
      <w:spacing w:before="240" w:after="60" w:line="276" w:lineRule="auto"/>
      <w:ind w:left="1426"/>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9"/>
    <w:qFormat/>
    <w:rsid w:val="00173F5C"/>
    <w:pPr>
      <w:keepNext/>
      <w:numPr>
        <w:ilvl w:val="2"/>
        <w:numId w:val="32"/>
      </w:numPr>
      <w:spacing w:before="240" w:after="60" w:line="276" w:lineRule="auto"/>
      <w:outlineLvl w:val="2"/>
    </w:pPr>
    <w:rPr>
      <w:rFonts w:ascii="Arial" w:eastAsia="Calibri" w:hAnsi="Arial" w:cs="Arial"/>
      <w:b/>
      <w:bCs/>
      <w:sz w:val="26"/>
      <w:szCs w:val="26"/>
    </w:rPr>
  </w:style>
  <w:style w:type="paragraph" w:styleId="Heading4">
    <w:name w:val="heading 4"/>
    <w:basedOn w:val="Normal"/>
    <w:next w:val="Normal"/>
    <w:link w:val="Heading4Char"/>
    <w:unhideWhenUsed/>
    <w:qFormat/>
    <w:rsid w:val="00173F5C"/>
    <w:pPr>
      <w:keepNext/>
      <w:keepLines/>
      <w:numPr>
        <w:ilvl w:val="3"/>
        <w:numId w:val="32"/>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semiHidden/>
    <w:unhideWhenUsed/>
    <w:qFormat/>
    <w:rsid w:val="00173F5C"/>
    <w:pPr>
      <w:keepNext/>
      <w:keepLines/>
      <w:numPr>
        <w:ilvl w:val="4"/>
        <w:numId w:val="32"/>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semiHidden/>
    <w:unhideWhenUsed/>
    <w:qFormat/>
    <w:rsid w:val="00173F5C"/>
    <w:pPr>
      <w:keepNext/>
      <w:keepLines/>
      <w:numPr>
        <w:ilvl w:val="5"/>
        <w:numId w:val="32"/>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semiHidden/>
    <w:unhideWhenUsed/>
    <w:qFormat/>
    <w:rsid w:val="00173F5C"/>
    <w:pPr>
      <w:keepNext/>
      <w:keepLines/>
      <w:numPr>
        <w:ilvl w:val="6"/>
        <w:numId w:val="32"/>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73F5C"/>
    <w:pPr>
      <w:keepNext/>
      <w:keepLines/>
      <w:numPr>
        <w:ilvl w:val="7"/>
        <w:numId w:val="32"/>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173F5C"/>
    <w:pPr>
      <w:keepNext/>
      <w:keepLines/>
      <w:numPr>
        <w:ilvl w:val="8"/>
        <w:numId w:val="32"/>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2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D58"/>
  </w:style>
  <w:style w:type="paragraph" w:styleId="Footer">
    <w:name w:val="footer"/>
    <w:basedOn w:val="Normal"/>
    <w:link w:val="FooterChar"/>
    <w:uiPriority w:val="99"/>
    <w:unhideWhenUsed/>
    <w:rsid w:val="00CE2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D58"/>
  </w:style>
  <w:style w:type="paragraph" w:styleId="ListParagraph">
    <w:name w:val="List Paragraph"/>
    <w:basedOn w:val="Normal"/>
    <w:uiPriority w:val="34"/>
    <w:qFormat/>
    <w:rsid w:val="00CA7BC3"/>
    <w:pPr>
      <w:ind w:left="720"/>
      <w:contextualSpacing/>
    </w:pPr>
  </w:style>
  <w:style w:type="paragraph" w:styleId="BalloonText">
    <w:name w:val="Balloon Text"/>
    <w:basedOn w:val="Normal"/>
    <w:link w:val="BalloonTextChar"/>
    <w:uiPriority w:val="99"/>
    <w:semiHidden/>
    <w:unhideWhenUsed/>
    <w:rsid w:val="00A86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76F"/>
    <w:rPr>
      <w:rFonts w:ascii="Segoe UI" w:hAnsi="Segoe UI" w:cs="Segoe UI"/>
      <w:sz w:val="18"/>
      <w:szCs w:val="18"/>
    </w:rPr>
  </w:style>
  <w:style w:type="character" w:styleId="Hyperlink">
    <w:name w:val="Hyperlink"/>
    <w:basedOn w:val="DefaultParagraphFont"/>
    <w:uiPriority w:val="99"/>
    <w:unhideWhenUsed/>
    <w:rsid w:val="000F224D"/>
    <w:rPr>
      <w:color w:val="0563C1" w:themeColor="hyperlink"/>
      <w:u w:val="single"/>
    </w:rPr>
  </w:style>
  <w:style w:type="table" w:customStyle="1" w:styleId="TableGrid1">
    <w:name w:val="Table Grid1"/>
    <w:basedOn w:val="TableNormal"/>
    <w:next w:val="TableGrid"/>
    <w:uiPriority w:val="59"/>
    <w:rsid w:val="00AF4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73F5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173F5C"/>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173F5C"/>
    <w:rPr>
      <w:rFonts w:ascii="Arial" w:eastAsia="Calibri" w:hAnsi="Arial" w:cs="Arial"/>
      <w:b/>
      <w:bCs/>
      <w:sz w:val="26"/>
      <w:szCs w:val="26"/>
    </w:rPr>
  </w:style>
  <w:style w:type="character" w:customStyle="1" w:styleId="Heading4Char">
    <w:name w:val="Heading 4 Char"/>
    <w:basedOn w:val="DefaultParagraphFont"/>
    <w:link w:val="Heading4"/>
    <w:rsid w:val="00173F5C"/>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semiHidden/>
    <w:rsid w:val="00173F5C"/>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semiHidden/>
    <w:rsid w:val="00173F5C"/>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semiHidden/>
    <w:rsid w:val="00173F5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173F5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173F5C"/>
    <w:rPr>
      <w:rFonts w:asciiTheme="majorHAnsi" w:eastAsiaTheme="majorEastAsia" w:hAnsiTheme="majorHAnsi" w:cstheme="majorBidi"/>
      <w:i/>
      <w:iCs/>
      <w:color w:val="404040" w:themeColor="text1" w:themeTint="BF"/>
      <w:sz w:val="20"/>
      <w:szCs w:val="20"/>
    </w:rPr>
  </w:style>
  <w:style w:type="table" w:customStyle="1" w:styleId="TableGrid2">
    <w:name w:val="Table Grid2"/>
    <w:basedOn w:val="TableNormal"/>
    <w:next w:val="TableGrid"/>
    <w:uiPriority w:val="59"/>
    <w:rsid w:val="00F61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19E1"/>
    <w:rPr>
      <w:sz w:val="16"/>
      <w:szCs w:val="16"/>
    </w:rPr>
  </w:style>
  <w:style w:type="paragraph" w:styleId="CommentText">
    <w:name w:val="annotation text"/>
    <w:basedOn w:val="Normal"/>
    <w:link w:val="CommentTextChar"/>
    <w:uiPriority w:val="99"/>
    <w:unhideWhenUsed/>
    <w:rsid w:val="00FD19E1"/>
    <w:pPr>
      <w:spacing w:line="240" w:lineRule="auto"/>
    </w:pPr>
    <w:rPr>
      <w:sz w:val="20"/>
      <w:szCs w:val="20"/>
    </w:rPr>
  </w:style>
  <w:style w:type="character" w:customStyle="1" w:styleId="CommentTextChar">
    <w:name w:val="Comment Text Char"/>
    <w:basedOn w:val="DefaultParagraphFont"/>
    <w:link w:val="CommentText"/>
    <w:uiPriority w:val="99"/>
    <w:rsid w:val="00FD19E1"/>
    <w:rPr>
      <w:sz w:val="20"/>
      <w:szCs w:val="20"/>
    </w:rPr>
  </w:style>
  <w:style w:type="paragraph" w:styleId="CommentSubject">
    <w:name w:val="annotation subject"/>
    <w:basedOn w:val="CommentText"/>
    <w:next w:val="CommentText"/>
    <w:link w:val="CommentSubjectChar"/>
    <w:uiPriority w:val="99"/>
    <w:semiHidden/>
    <w:unhideWhenUsed/>
    <w:rsid w:val="00FD19E1"/>
    <w:rPr>
      <w:b/>
      <w:bCs/>
    </w:rPr>
  </w:style>
  <w:style w:type="character" w:customStyle="1" w:styleId="CommentSubjectChar">
    <w:name w:val="Comment Subject Char"/>
    <w:basedOn w:val="CommentTextChar"/>
    <w:link w:val="CommentSubject"/>
    <w:uiPriority w:val="99"/>
    <w:semiHidden/>
    <w:rsid w:val="00FD19E1"/>
    <w:rPr>
      <w:b/>
      <w:bCs/>
      <w:sz w:val="20"/>
      <w:szCs w:val="20"/>
    </w:rPr>
  </w:style>
  <w:style w:type="table" w:customStyle="1" w:styleId="TableGrid21">
    <w:name w:val="Table Grid21"/>
    <w:basedOn w:val="TableNormal"/>
    <w:next w:val="TableGrid"/>
    <w:uiPriority w:val="59"/>
    <w:rsid w:val="00A24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17265">
      <w:bodyDiv w:val="1"/>
      <w:marLeft w:val="0"/>
      <w:marRight w:val="0"/>
      <w:marTop w:val="0"/>
      <w:marBottom w:val="0"/>
      <w:divBdr>
        <w:top w:val="none" w:sz="0" w:space="0" w:color="auto"/>
        <w:left w:val="none" w:sz="0" w:space="0" w:color="auto"/>
        <w:bottom w:val="none" w:sz="0" w:space="0" w:color="auto"/>
        <w:right w:val="none" w:sz="0" w:space="0" w:color="auto"/>
      </w:divBdr>
    </w:div>
    <w:div w:id="309943092">
      <w:bodyDiv w:val="1"/>
      <w:marLeft w:val="0"/>
      <w:marRight w:val="0"/>
      <w:marTop w:val="0"/>
      <w:marBottom w:val="0"/>
      <w:divBdr>
        <w:top w:val="none" w:sz="0" w:space="0" w:color="auto"/>
        <w:left w:val="none" w:sz="0" w:space="0" w:color="auto"/>
        <w:bottom w:val="none" w:sz="0" w:space="0" w:color="auto"/>
        <w:right w:val="none" w:sz="0" w:space="0" w:color="auto"/>
      </w:divBdr>
    </w:div>
    <w:div w:id="538396023">
      <w:bodyDiv w:val="1"/>
      <w:marLeft w:val="0"/>
      <w:marRight w:val="0"/>
      <w:marTop w:val="0"/>
      <w:marBottom w:val="0"/>
      <w:divBdr>
        <w:top w:val="none" w:sz="0" w:space="0" w:color="auto"/>
        <w:left w:val="none" w:sz="0" w:space="0" w:color="auto"/>
        <w:bottom w:val="none" w:sz="0" w:space="0" w:color="auto"/>
        <w:right w:val="none" w:sz="0" w:space="0" w:color="auto"/>
      </w:divBdr>
    </w:div>
    <w:div w:id="551037093">
      <w:bodyDiv w:val="1"/>
      <w:marLeft w:val="0"/>
      <w:marRight w:val="0"/>
      <w:marTop w:val="0"/>
      <w:marBottom w:val="0"/>
      <w:divBdr>
        <w:top w:val="none" w:sz="0" w:space="0" w:color="auto"/>
        <w:left w:val="none" w:sz="0" w:space="0" w:color="auto"/>
        <w:bottom w:val="none" w:sz="0" w:space="0" w:color="auto"/>
        <w:right w:val="none" w:sz="0" w:space="0" w:color="auto"/>
      </w:divBdr>
    </w:div>
    <w:div w:id="655836238">
      <w:bodyDiv w:val="1"/>
      <w:marLeft w:val="0"/>
      <w:marRight w:val="0"/>
      <w:marTop w:val="0"/>
      <w:marBottom w:val="0"/>
      <w:divBdr>
        <w:top w:val="none" w:sz="0" w:space="0" w:color="auto"/>
        <w:left w:val="none" w:sz="0" w:space="0" w:color="auto"/>
        <w:bottom w:val="none" w:sz="0" w:space="0" w:color="auto"/>
        <w:right w:val="none" w:sz="0" w:space="0" w:color="auto"/>
      </w:divBdr>
    </w:div>
    <w:div w:id="1056734254">
      <w:bodyDiv w:val="1"/>
      <w:marLeft w:val="0"/>
      <w:marRight w:val="0"/>
      <w:marTop w:val="0"/>
      <w:marBottom w:val="0"/>
      <w:divBdr>
        <w:top w:val="none" w:sz="0" w:space="0" w:color="auto"/>
        <w:left w:val="none" w:sz="0" w:space="0" w:color="auto"/>
        <w:bottom w:val="none" w:sz="0" w:space="0" w:color="auto"/>
        <w:right w:val="none" w:sz="0" w:space="0" w:color="auto"/>
      </w:divBdr>
    </w:div>
    <w:div w:id="1189023769">
      <w:bodyDiv w:val="1"/>
      <w:marLeft w:val="0"/>
      <w:marRight w:val="0"/>
      <w:marTop w:val="0"/>
      <w:marBottom w:val="0"/>
      <w:divBdr>
        <w:top w:val="none" w:sz="0" w:space="0" w:color="auto"/>
        <w:left w:val="none" w:sz="0" w:space="0" w:color="auto"/>
        <w:bottom w:val="none" w:sz="0" w:space="0" w:color="auto"/>
        <w:right w:val="none" w:sz="0" w:space="0" w:color="auto"/>
      </w:divBdr>
    </w:div>
    <w:div w:id="1556503879">
      <w:bodyDiv w:val="1"/>
      <w:marLeft w:val="0"/>
      <w:marRight w:val="0"/>
      <w:marTop w:val="0"/>
      <w:marBottom w:val="0"/>
      <w:divBdr>
        <w:top w:val="none" w:sz="0" w:space="0" w:color="auto"/>
        <w:left w:val="none" w:sz="0" w:space="0" w:color="auto"/>
        <w:bottom w:val="none" w:sz="0" w:space="0" w:color="auto"/>
        <w:right w:val="none" w:sz="0" w:space="0" w:color="auto"/>
      </w:divBdr>
    </w:div>
    <w:div w:id="1686514345">
      <w:bodyDiv w:val="1"/>
      <w:marLeft w:val="0"/>
      <w:marRight w:val="0"/>
      <w:marTop w:val="0"/>
      <w:marBottom w:val="0"/>
      <w:divBdr>
        <w:top w:val="none" w:sz="0" w:space="0" w:color="auto"/>
        <w:left w:val="none" w:sz="0" w:space="0" w:color="auto"/>
        <w:bottom w:val="none" w:sz="0" w:space="0" w:color="auto"/>
        <w:right w:val="none" w:sz="0" w:space="0" w:color="auto"/>
      </w:divBdr>
    </w:div>
    <w:div w:id="1881547816">
      <w:bodyDiv w:val="1"/>
      <w:marLeft w:val="0"/>
      <w:marRight w:val="0"/>
      <w:marTop w:val="0"/>
      <w:marBottom w:val="0"/>
      <w:divBdr>
        <w:top w:val="none" w:sz="0" w:space="0" w:color="auto"/>
        <w:left w:val="none" w:sz="0" w:space="0" w:color="auto"/>
        <w:bottom w:val="none" w:sz="0" w:space="0" w:color="auto"/>
        <w:right w:val="none" w:sz="0" w:space="0" w:color="auto"/>
      </w:divBdr>
    </w:div>
    <w:div w:id="1995989585">
      <w:bodyDiv w:val="1"/>
      <w:marLeft w:val="0"/>
      <w:marRight w:val="0"/>
      <w:marTop w:val="0"/>
      <w:marBottom w:val="0"/>
      <w:divBdr>
        <w:top w:val="none" w:sz="0" w:space="0" w:color="auto"/>
        <w:left w:val="none" w:sz="0" w:space="0" w:color="auto"/>
        <w:bottom w:val="none" w:sz="0" w:space="0" w:color="auto"/>
        <w:right w:val="none" w:sz="0" w:space="0" w:color="auto"/>
      </w:divBdr>
    </w:div>
    <w:div w:id="2014794091">
      <w:bodyDiv w:val="1"/>
      <w:marLeft w:val="0"/>
      <w:marRight w:val="0"/>
      <w:marTop w:val="0"/>
      <w:marBottom w:val="0"/>
      <w:divBdr>
        <w:top w:val="none" w:sz="0" w:space="0" w:color="auto"/>
        <w:left w:val="none" w:sz="0" w:space="0" w:color="auto"/>
        <w:bottom w:val="none" w:sz="0" w:space="0" w:color="auto"/>
        <w:right w:val="none" w:sz="0" w:space="0" w:color="auto"/>
      </w:divBdr>
    </w:div>
    <w:div w:id="208806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ia.org.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Review</TermName>
          <TermId xmlns="http://schemas.microsoft.com/office/infopath/2007/PartnerControls">2ed2853e-3f15-4f43-a346-e8b4dc5cbf42</TermId>
        </TermInfo>
      </Terms>
    </C3TopicNote>
    <k182b6bd2a994f8f95e924da00d78e9b xmlns="4ee17582-4bfd-407b-b553-e98b9af73715">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k182b6bd2a994f8f95e924da00d78e9b>
    <PingarLastProcessed xmlns="4ee17582-4bfd-407b-b553-e98b9af73715">2016-03-25T12:54:47+00:00</PingarLastProcessed>
    <ffcdb518397e41e8a5447fa46841a57f xmlns="4ee17582-4bfd-407b-b553-e98b9af73715">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a6c4bff5-ad0b-49e3-9689-41dcdf3d6736</TermId>
        </TermInfo>
      </Terms>
    </ffcdb518397e41e8a5447fa46841a57f>
    <TaxKeywordTaxHTField xmlns="4ee17582-4bfd-407b-b553-e98b9af73715">
      <Terms xmlns="http://schemas.microsoft.com/office/infopath/2007/PartnerControls"/>
    </TaxKeywordTaxHTField>
    <e5d101e695d0413894eac226a6aa764c xmlns="4ee17582-4bfd-407b-b553-e98b9af73715">
      <Terms xmlns="http://schemas.microsoft.com/office/infopath/2007/PartnerControls">
        <TermInfo xmlns="http://schemas.microsoft.com/office/infopath/2007/PartnerControls">
          <TermName xmlns="http://schemas.microsoft.com/office/infopath/2007/PartnerControls">industry</TermName>
          <TermId xmlns="http://schemas.microsoft.com/office/infopath/2007/PartnerControls">7a9497a6-d880-40cc-bd02-3afe4c4ddcfb</TermId>
        </TermInfo>
        <TermInfo xmlns="http://schemas.microsoft.com/office/infopath/2007/PartnerControls">
          <TermName xmlns="http://schemas.microsoft.com/office/infopath/2007/PartnerControls">communications</TermName>
          <TermId xmlns="http://schemas.microsoft.com/office/infopath/2007/PartnerControls">5f19c09d-47df-4dd8-b10f-ccb1336ac83b</TermId>
        </TermInfo>
        <TermInfo xmlns="http://schemas.microsoft.com/office/infopath/2007/PartnerControls">
          <TermName xmlns="http://schemas.microsoft.com/office/infopath/2007/PartnerControls">telecommunications</TermName>
          <TermId xmlns="http://schemas.microsoft.com/office/infopath/2007/PartnerControls">9a594166-f875-4ed6-be9b-f265713e20b6</TermId>
        </TermInfo>
        <TermInfo xmlns="http://schemas.microsoft.com/office/infopath/2007/PartnerControls">
          <TermName xmlns="http://schemas.microsoft.com/office/infopath/2007/PartnerControls">informing</TermName>
          <TermId xmlns="http://schemas.microsoft.com/office/infopath/2007/PartnerControls">b9dea892-f883-4845-8698-e26e3087a8f1</TermId>
        </TermInfo>
        <TermInfo xmlns="http://schemas.microsoft.com/office/infopath/2007/PartnerControls">
          <TermName xmlns="http://schemas.microsoft.com/office/infopath/2007/PartnerControls">government</TermName>
          <TermId xmlns="http://schemas.microsoft.com/office/infopath/2007/PartnerControls">cf3577db-e2dd-4ad8-afd5-b26ff5a5f108</TermId>
        </TermInfo>
      </Terms>
    </e5d101e695d0413894eac226a6aa764c>
    <TaxCatchAll xmlns="4ee17582-4bfd-407b-b553-e98b9af73715">
      <Value>50</Value>
      <Value>14</Value>
      <Value>11</Value>
      <Value>92</Value>
      <Value>224</Value>
      <Value>2875</Value>
      <Value>1</Value>
      <Value>649</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7E8ADC120B818E4EAF5942C1D6FD5E84" ma:contentTypeVersion="0" ma:contentTypeDescription="Create a new Word Document" ma:contentTypeScope="" ma:versionID="18e645032cada8838a232a41666a3bbf">
  <xsd:schema xmlns:xsd="http://www.w3.org/2001/XMLSchema" xmlns:xs="http://www.w3.org/2001/XMLSchema" xmlns:p="http://schemas.microsoft.com/office/2006/metadata/properties" xmlns:ns3="01be4277-2979-4a68-876d-b92b25fceece" xmlns:ns4="4ee17582-4bfd-407b-b553-e98b9af73715" targetNamespace="http://schemas.microsoft.com/office/2006/metadata/properties" ma:root="true" ma:fieldsID="e3d6aec6c0be1fad7e3bab331540a729" ns3:_="" ns4:_="">
    <xsd:import namespace="01be4277-2979-4a68-876d-b92b25fceece"/>
    <xsd:import namespace="4ee17582-4bfd-407b-b553-e98b9af73715"/>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k182b6bd2a994f8f95e924da00d78e9b" minOccurs="0"/>
                <xsd:element ref="ns4:ffcdb518397e41e8a5447fa46841a57f" minOccurs="0"/>
                <xsd:element ref="ns4:e5d101e695d0413894eac226a6aa764c" minOccurs="0"/>
                <xsd:element ref="ns4:PingarLast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3bfd400a-bb0f-42a8-a885-98b592a0f767" ma:termSetId="3a592a89-6bc1-4c8c-80ff-f37625b7c14c" ma:anchorId="22e3fd31-20bb-450d-a152-2219eb491b5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e17582-4bfd-407b-b553-e98b9af73715"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149d6d31-bb35-4f13-bfd6-ffd1e34fa547}" ma:internalName="TaxCatchAll" ma:showField="CatchAllData" ma:web="4ee17582-4bfd-407b-b553-e98b9af7371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49d6d31-bb35-4f13-bfd6-ffd1e34fa547}" ma:internalName="TaxCatchAllLabel" ma:readOnly="true" ma:showField="CatchAllDataLabel" ma:web="4ee17582-4bfd-407b-b553-e98b9af73715">
      <xsd:complexType>
        <xsd:complexContent>
          <xsd:extension base="dms:MultiChoiceLookup">
            <xsd:sequence>
              <xsd:element name="Value" type="dms:Lookup" maxOccurs="unbounded" minOccurs="0" nillable="true"/>
            </xsd:sequence>
          </xsd:extension>
        </xsd:complexContent>
      </xsd:complexType>
    </xsd:element>
    <xsd:element name="k182b6bd2a994f8f95e924da00d78e9b" ma:index="14" nillable="true" ma:taxonomy="true" ma:internalName="k182b6bd2a994f8f95e924da00d78e9b" ma:taxonomyFieldName="MPISecurityClassification" ma:displayName="Security Classification" ma:default="1;#None|cf402fa0-b6a8-49a7-a22e-a95b6152c608" ma:fieldId="{4182b6bd-2a99-4f8f-95e9-24da00d78e9b}"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ffcdb518397e41e8a5447fa46841a57f" ma:index="17" nillable="true" ma:taxonomy="true" ma:internalName="ffcdb518397e41e8a5447fa46841a57f" ma:taxonomyFieldName="MPIYear" ma:displayName="Year" ma:default="" ma:fieldId="{ffcdb518-397e-41e8-a544-7fa46841a57f}" ma:sspId="3bfd400a-bb0f-42a8-a885-98b592a0f767" ma:termSetId="a2794d3b-ad43-433c-baba-58d8fc3e7862" ma:anchorId="00000000-0000-0000-0000-000000000000" ma:open="false" ma:isKeyword="false">
      <xsd:complexType>
        <xsd:sequence>
          <xsd:element ref="pc:Terms" minOccurs="0" maxOccurs="1"/>
        </xsd:sequence>
      </xsd:complexType>
    </xsd:element>
    <xsd:element name="e5d101e695d0413894eac226a6aa764c" ma:index="20" nillable="true" ma:taxonomy="true" ma:internalName="e5d101e695d0413894eac226a6aa764c" ma:taxonomyFieldName="PingarMPI_Terms" ma:displayName="Derived Terms" ma:fieldId="{e5d101e6-95d0-4138-94ea-c226a6aa764c}"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ingarLastProcessed" ma:index="21" nillable="true" ma:displayName="PingarLastProcessed" ma:format="DateTime" ma:internalName="PingarLastProcess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99700-F6A9-4F5F-9819-047A4B92619E}">
  <ds:schemaRefs>
    <ds:schemaRef ds:uri="http://schemas.microsoft.com/sharepoint/v3/contenttype/forms"/>
  </ds:schemaRefs>
</ds:datastoreItem>
</file>

<file path=customXml/itemProps2.xml><?xml version="1.0" encoding="utf-8"?>
<ds:datastoreItem xmlns:ds="http://schemas.openxmlformats.org/officeDocument/2006/customXml" ds:itemID="{08A8BD37-BB0B-4D2D-9FCF-CCF7816C313E}">
  <ds:schemaRefs>
    <ds:schemaRef ds:uri="http://schemas.microsoft.com/sharepoint/events"/>
  </ds:schemaRefs>
</ds:datastoreItem>
</file>

<file path=customXml/itemProps3.xml><?xml version="1.0" encoding="utf-8"?>
<ds:datastoreItem xmlns:ds="http://schemas.openxmlformats.org/officeDocument/2006/customXml" ds:itemID="{F5D8CA79-EDBA-4580-8F41-27EF645C4F74}">
  <ds:schemaRefs>
    <ds:schemaRef ds:uri="4ee17582-4bfd-407b-b553-e98b9af7371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1be4277-2979-4a68-876d-b92b25fceece"/>
    <ds:schemaRef ds:uri="http://www.w3.org/XML/1998/namespace"/>
    <ds:schemaRef ds:uri="http://purl.org/dc/dcmitype/"/>
  </ds:schemaRefs>
</ds:datastoreItem>
</file>

<file path=customXml/itemProps4.xml><?xml version="1.0" encoding="utf-8"?>
<ds:datastoreItem xmlns:ds="http://schemas.openxmlformats.org/officeDocument/2006/customXml" ds:itemID="{820D9A83-D475-41CB-87A8-8CF895EE6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4ee17582-4bfd-407b-b553-e98b9af73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875749-2C3D-4D3D-80CF-DD40221F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MPI</Company>
  <LinksUpToDate>false</LinksUpToDate>
  <CharactersWithSpaces>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Zandi</dc:creator>
  <cp:keywords/>
  <dc:description/>
  <cp:lastModifiedBy>Ana Zandi</cp:lastModifiedBy>
  <cp:revision>6</cp:revision>
  <cp:lastPrinted>2016-05-09T01:14:00Z</cp:lastPrinted>
  <dcterms:created xsi:type="dcterms:W3CDTF">2016-05-03T00:20:00Z</dcterms:created>
  <dcterms:modified xsi:type="dcterms:W3CDTF">2016-05-09T01:18:00Z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0x0101005496552013C0BA46BE88192D5C6EB20B00BC7B51C3C3DA487E91D1E0ED95F8C85C007E8ADC120B818E4EAF5942C1D6FD5E84</vt:lpwstr>
  </property>
  <property fmtid="{D5CDD505-2E9C-101B-9397-08002B2CF9AE}" pid="3" name="TaxKeyword">
    <vt:lpwstr/>
  </property>
  <property fmtid="{D5CDD505-2E9C-101B-9397-08002B2CF9AE}" pid="4" name="MPIYear">
    <vt:lpwstr>11;#2016|a6c4bff5-ad0b-49e3-9689-41dcdf3d6736</vt:lpwstr>
  </property>
  <property fmtid="{D5CDD505-2E9C-101B-9397-08002B2CF9AE}" pid="5" name="MPISecurityClassification">
    <vt:lpwstr>1;#None|cf402fa0-b6a8-49a7-a22e-a95b6152c608</vt:lpwstr>
  </property>
  <property fmtid="{D5CDD505-2E9C-101B-9397-08002B2CF9AE}" pid="6" name="PingarMPI_Terms">
    <vt:lpwstr>224;#industry|7a9497a6-d880-40cc-bd02-3afe4c4ddcfb;#92;#communications|5f19c09d-47df-4dd8-b10f-ccb1336ac83b;#649;#telecommunications|9a594166-f875-4ed6-be9b-f265713e20b6;#50;#informing|b9dea892-f883-4845-8698-e26e3087a8f1;#14;#government|cf3577db-e2dd-4ad</vt:lpwstr>
  </property>
  <property fmtid="{D5CDD505-2E9C-101B-9397-08002B2CF9AE}" pid="7" name="C3Topic">
    <vt:lpwstr>2875;#Review|2ed2853e-3f15-4f43-a346-e8b4dc5cbf42</vt:lpwstr>
  </property>
</Properties>
</file>